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29161" w14:textId="34473C1F" w:rsidR="00D0778F" w:rsidRDefault="00D0778F" w:rsidP="00D0778F">
      <w:pPr>
        <w:pStyle w:val="ARH1"/>
      </w:pPr>
      <w:r>
        <w:rPr>
          <w:noProof/>
        </w:rPr>
        <w:drawing>
          <wp:anchor distT="0" distB="0" distL="114300" distR="114300" simplePos="0" relativeHeight="251714560" behindDoc="1" locked="0" layoutInCell="1" allowOverlap="1" wp14:anchorId="01A3AE2C" wp14:editId="5E4E7A59">
            <wp:simplePos x="0" y="0"/>
            <wp:positionH relativeFrom="column">
              <wp:posOffset>4605655</wp:posOffset>
            </wp:positionH>
            <wp:positionV relativeFrom="paragraph">
              <wp:posOffset>-56737</wp:posOffset>
            </wp:positionV>
            <wp:extent cx="1691804" cy="669954"/>
            <wp:effectExtent l="0" t="0" r="3810" b="0"/>
            <wp:wrapNone/>
            <wp:docPr id="17"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l'scape black_5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804" cy="669954"/>
                    </a:xfrm>
                    <a:prstGeom prst="rect">
                      <a:avLst/>
                    </a:prstGeom>
                  </pic:spPr>
                </pic:pic>
              </a:graphicData>
            </a:graphic>
            <wp14:sizeRelH relativeFrom="margin">
              <wp14:pctWidth>0</wp14:pctWidth>
            </wp14:sizeRelH>
            <wp14:sizeRelV relativeFrom="margin">
              <wp14:pctHeight>0</wp14:pctHeight>
            </wp14:sizeRelV>
          </wp:anchor>
        </w:drawing>
      </w:r>
    </w:p>
    <w:p w14:paraId="181BE10B" w14:textId="73A6B57D" w:rsidR="00F55AA5" w:rsidRDefault="00F55AA5" w:rsidP="00D0778F">
      <w:pPr>
        <w:rPr>
          <w:sz w:val="96"/>
          <w:szCs w:val="96"/>
        </w:rPr>
      </w:pPr>
    </w:p>
    <w:p w14:paraId="5BF5DD88" w14:textId="4FACF738" w:rsidR="00E5259C" w:rsidRPr="00D0778F" w:rsidRDefault="00F55AA5" w:rsidP="00D0778F">
      <w:pPr>
        <w:rPr>
          <w:rFonts w:ascii="Calibri Light" w:hAnsi="Calibri Light"/>
          <w:szCs w:val="21"/>
        </w:rPr>
      </w:pPr>
      <w:r>
        <w:rPr>
          <w:noProof/>
          <w:sz w:val="96"/>
          <w:szCs w:val="96"/>
        </w:rPr>
        <mc:AlternateContent>
          <mc:Choice Requires="wpg">
            <w:drawing>
              <wp:anchor distT="0" distB="0" distL="114300" distR="114300" simplePos="0" relativeHeight="251821056" behindDoc="0" locked="0" layoutInCell="1" allowOverlap="1" wp14:anchorId="39950CAA" wp14:editId="0FE20204">
                <wp:simplePos x="0" y="0"/>
                <wp:positionH relativeFrom="column">
                  <wp:posOffset>893635</wp:posOffset>
                </wp:positionH>
                <wp:positionV relativeFrom="paragraph">
                  <wp:posOffset>882015</wp:posOffset>
                </wp:positionV>
                <wp:extent cx="4619122" cy="2445765"/>
                <wp:effectExtent l="0" t="0" r="0" b="0"/>
                <wp:wrapSquare wrapText="bothSides"/>
                <wp:docPr id="26" name="Group 26"/>
                <wp:cNvGraphicFramePr/>
                <a:graphic xmlns:a="http://schemas.openxmlformats.org/drawingml/2006/main">
                  <a:graphicData uri="http://schemas.microsoft.com/office/word/2010/wordprocessingGroup">
                    <wpg:wgp>
                      <wpg:cNvGrpSpPr/>
                      <wpg:grpSpPr>
                        <a:xfrm>
                          <a:off x="0" y="0"/>
                          <a:ext cx="4619122" cy="2445765"/>
                          <a:chOff x="0" y="0"/>
                          <a:chExt cx="4619122" cy="2445765"/>
                        </a:xfrm>
                      </wpg:grpSpPr>
                      <wps:wsp>
                        <wps:cNvPr id="217" name="Text Box 2"/>
                        <wps:cNvSpPr txBox="1">
                          <a:spLocks noChangeArrowheads="1"/>
                        </wps:cNvSpPr>
                        <wps:spPr bwMode="auto">
                          <a:xfrm>
                            <a:off x="71252" y="391886"/>
                            <a:ext cx="4547870" cy="781685"/>
                          </a:xfrm>
                          <a:prstGeom prst="rect">
                            <a:avLst/>
                          </a:prstGeom>
                          <a:noFill/>
                          <a:ln w="9525">
                            <a:noFill/>
                            <a:miter lim="800000"/>
                            <a:headEnd/>
                            <a:tailEnd/>
                          </a:ln>
                        </wps:spPr>
                        <wps:txbx>
                          <w:txbxContent>
                            <w:p w14:paraId="3656B65C" w14:textId="6C92A099" w:rsidR="00A46036" w:rsidRPr="00F55AA5" w:rsidRDefault="00A46036" w:rsidP="00D0778F">
                              <w:pPr>
                                <w:rPr>
                                  <w:rFonts w:ascii="Calibri Light" w:hAnsi="Calibri Light" w:cs="Calibri Light"/>
                                  <w:sz w:val="93"/>
                                  <w:szCs w:val="93"/>
                                </w:rPr>
                              </w:pPr>
                              <w:r w:rsidRPr="00F55AA5">
                                <w:rPr>
                                  <w:rFonts w:ascii="Calibri Light" w:hAnsi="Calibri Light" w:cs="Calibri Light"/>
                                  <w:sz w:val="93"/>
                                  <w:szCs w:val="93"/>
                                </w:rPr>
                                <w:t xml:space="preserve">ANNUAL REPORT </w:t>
                              </w:r>
                            </w:p>
                          </w:txbxContent>
                        </wps:txbx>
                        <wps:bodyPr rot="0" vert="horz" wrap="square" lIns="91440" tIns="45720" rIns="91440" bIns="45720" anchor="t" anchorCtr="0">
                          <a:noAutofit/>
                        </wps:bodyPr>
                      </wps:wsp>
                      <wps:wsp>
                        <wps:cNvPr id="22" name="Text Box 2"/>
                        <wps:cNvSpPr txBox="1">
                          <a:spLocks noChangeArrowheads="1"/>
                        </wps:cNvSpPr>
                        <wps:spPr bwMode="auto">
                          <a:xfrm>
                            <a:off x="83127" y="0"/>
                            <a:ext cx="4227195" cy="528955"/>
                          </a:xfrm>
                          <a:prstGeom prst="rect">
                            <a:avLst/>
                          </a:prstGeom>
                          <a:noFill/>
                          <a:ln w="9525">
                            <a:noFill/>
                            <a:miter lim="800000"/>
                            <a:headEnd/>
                            <a:tailEnd/>
                          </a:ln>
                        </wps:spPr>
                        <wps:txbx>
                          <w:txbxContent>
                            <w:p w14:paraId="766A3B83" w14:textId="77777777" w:rsidR="00A46036" w:rsidRPr="00F55AA5" w:rsidRDefault="00A46036" w:rsidP="00D0778F">
                              <w:pPr>
                                <w:rPr>
                                  <w:rFonts w:asciiTheme="majorHAnsi" w:hAnsiTheme="majorHAnsi" w:cstheme="majorHAnsi"/>
                                  <w:b/>
                                  <w:bCs/>
                                  <w:sz w:val="50"/>
                                  <w:szCs w:val="50"/>
                                </w:rPr>
                              </w:pPr>
                              <w:r w:rsidRPr="00F55AA5">
                                <w:rPr>
                                  <w:rFonts w:asciiTheme="majorHAnsi" w:hAnsiTheme="majorHAnsi" w:cstheme="majorHAnsi"/>
                                  <w:b/>
                                  <w:bCs/>
                                  <w:sz w:val="50"/>
                                  <w:szCs w:val="50"/>
                                </w:rPr>
                                <w:t>Residential Tenancies Authority</w:t>
                              </w:r>
                            </w:p>
                          </w:txbxContent>
                        </wps:txbx>
                        <wps:bodyPr rot="0" vert="horz" wrap="square" lIns="91440" tIns="45720" rIns="91440" bIns="45720" anchor="t" anchorCtr="0">
                          <a:noAutofit/>
                        </wps:bodyPr>
                      </wps:wsp>
                      <wps:wsp>
                        <wps:cNvPr id="19" name="Text Box 2"/>
                        <wps:cNvSpPr txBox="1">
                          <a:spLocks noChangeArrowheads="1"/>
                        </wps:cNvSpPr>
                        <wps:spPr bwMode="auto">
                          <a:xfrm>
                            <a:off x="0" y="890650"/>
                            <a:ext cx="4547870" cy="1555115"/>
                          </a:xfrm>
                          <a:prstGeom prst="rect">
                            <a:avLst/>
                          </a:prstGeom>
                          <a:noFill/>
                          <a:ln w="9525">
                            <a:noFill/>
                            <a:miter lim="800000"/>
                            <a:headEnd/>
                            <a:tailEnd/>
                          </a:ln>
                        </wps:spPr>
                        <wps:txbx>
                          <w:txbxContent>
                            <w:p w14:paraId="2346C198" w14:textId="42B04C35" w:rsidR="00F55AA5" w:rsidRPr="00F55AA5" w:rsidRDefault="00F55AA5" w:rsidP="00F55AA5">
                              <w:pPr>
                                <w:rPr>
                                  <w:rFonts w:ascii="Calibri Light" w:hAnsi="Calibri Light" w:cs="Calibri Light"/>
                                  <w:color w:val="BFBFBF" w:themeColor="accent5" w:themeTint="66"/>
                                  <w:sz w:val="186"/>
                                  <w:szCs w:val="186"/>
                                </w:rPr>
                              </w:pPr>
                              <w:r w:rsidRPr="00F55AA5">
                                <w:rPr>
                                  <w:rFonts w:ascii="Calibri Light" w:hAnsi="Calibri Light" w:cs="Calibri Light"/>
                                  <w:color w:val="BFBFBF" w:themeColor="accent5" w:themeTint="66"/>
                                  <w:sz w:val="186"/>
                                  <w:szCs w:val="186"/>
                                </w:rPr>
                                <w:t>2019–20</w:t>
                              </w:r>
                            </w:p>
                          </w:txbxContent>
                        </wps:txbx>
                        <wps:bodyPr rot="0" vert="horz" wrap="square" lIns="91440" tIns="45720" rIns="91440" bIns="45720" anchor="t" anchorCtr="0">
                          <a:noAutofit/>
                        </wps:bodyPr>
                      </wps:wsp>
                    </wpg:wgp>
                  </a:graphicData>
                </a:graphic>
              </wp:anchor>
            </w:drawing>
          </mc:Choice>
          <mc:Fallback>
            <w:pict>
              <v:group w14:anchorId="39950CAA" id="Group 26" o:spid="_x0000_s1026" style="position:absolute;margin-left:70.35pt;margin-top:69.45pt;width:363.7pt;height:192.6pt;z-index:251821056" coordsize="46191,2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">
                <v:shapetype id="_x0000_t202" coordsize="21600,21600" o:spt="202" path="m,l,21600r21600,l21600,xe">
                  <v:stroke joinstyle="miter"/>
                  <v:path gradientshapeok="t" o:connecttype="rect"/>
                </v:shapetype>
                <v:shape id="Text Box 2" o:spid="_x0000_s1027" type="#_x0000_t202" style="position:absolute;left:712;top:3918;width:45479;height:7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656B65C" w14:textId="6C92A099" w:rsidR="00A46036" w:rsidRPr="00F55AA5" w:rsidRDefault="00A46036" w:rsidP="00D0778F">
                        <w:pPr>
                          <w:rPr>
                            <w:rFonts w:ascii="Calibri Light" w:hAnsi="Calibri Light" w:cs="Calibri Light"/>
                            <w:sz w:val="93"/>
                            <w:szCs w:val="93"/>
                          </w:rPr>
                        </w:pPr>
                        <w:r w:rsidRPr="00F55AA5">
                          <w:rPr>
                            <w:rFonts w:ascii="Calibri Light" w:hAnsi="Calibri Light" w:cs="Calibri Light"/>
                            <w:sz w:val="93"/>
                            <w:szCs w:val="93"/>
                          </w:rPr>
                          <w:t xml:space="preserve">ANNUAL REPORT </w:t>
                        </w:r>
                      </w:p>
                    </w:txbxContent>
                  </v:textbox>
                </v:shape>
                <v:shape id="Text Box 2" o:spid="_x0000_s1028" type="#_x0000_t202" style="position:absolute;left:831;width:42272;height:5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766A3B83" w14:textId="77777777" w:rsidR="00A46036" w:rsidRPr="00F55AA5" w:rsidRDefault="00A46036" w:rsidP="00D0778F">
                        <w:pPr>
                          <w:rPr>
                            <w:rFonts w:asciiTheme="majorHAnsi" w:hAnsiTheme="majorHAnsi" w:cstheme="majorHAnsi"/>
                            <w:b/>
                            <w:bCs/>
                            <w:sz w:val="50"/>
                            <w:szCs w:val="50"/>
                          </w:rPr>
                        </w:pPr>
                        <w:r w:rsidRPr="00F55AA5">
                          <w:rPr>
                            <w:rFonts w:asciiTheme="majorHAnsi" w:hAnsiTheme="majorHAnsi" w:cstheme="majorHAnsi"/>
                            <w:b/>
                            <w:bCs/>
                            <w:sz w:val="50"/>
                            <w:szCs w:val="50"/>
                          </w:rPr>
                          <w:t>Residential Tenancies Authority</w:t>
                        </w:r>
                      </w:p>
                    </w:txbxContent>
                  </v:textbox>
                </v:shape>
                <v:shape id="Text Box 2" o:spid="_x0000_s1029" type="#_x0000_t202" style="position:absolute;top:8906;width:4547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346C198" w14:textId="42B04C35" w:rsidR="00F55AA5" w:rsidRPr="00F55AA5" w:rsidRDefault="00F55AA5" w:rsidP="00F55AA5">
                        <w:pPr>
                          <w:rPr>
                            <w:rFonts w:ascii="Calibri Light" w:hAnsi="Calibri Light" w:cs="Calibri Light"/>
                            <w:color w:val="BFBFBF" w:themeColor="accent5" w:themeTint="66"/>
                            <w:sz w:val="186"/>
                            <w:szCs w:val="186"/>
                          </w:rPr>
                        </w:pPr>
                        <w:r w:rsidRPr="00F55AA5">
                          <w:rPr>
                            <w:rFonts w:ascii="Calibri Light" w:hAnsi="Calibri Light" w:cs="Calibri Light"/>
                            <w:color w:val="BFBFBF" w:themeColor="accent5" w:themeTint="66"/>
                            <w:sz w:val="186"/>
                            <w:szCs w:val="186"/>
                          </w:rPr>
                          <w:t>2019–20</w:t>
                        </w:r>
                      </w:p>
                    </w:txbxContent>
                  </v:textbox>
                </v:shape>
                <w10:wrap type="square"/>
              </v:group>
            </w:pict>
          </mc:Fallback>
        </mc:AlternateContent>
      </w:r>
      <w:r w:rsidR="00E5259C">
        <w:rPr>
          <w:sz w:val="96"/>
          <w:szCs w:val="96"/>
        </w:rPr>
        <w:br w:type="page"/>
      </w:r>
    </w:p>
    <w:p w14:paraId="38782BC7" w14:textId="77777777" w:rsidR="00E5259C" w:rsidRDefault="00E5259C" w:rsidP="00E5259C">
      <w:pPr>
        <w:pStyle w:val="ARH2"/>
      </w:pPr>
      <w:r>
        <w:lastRenderedPageBreak/>
        <w:t>Letter of compliance</w:t>
      </w:r>
    </w:p>
    <w:p w14:paraId="703EFF86" w14:textId="2DE12ACC" w:rsidR="00E5259C" w:rsidRDefault="006D63F9" w:rsidP="00E5259C">
      <w:pPr>
        <w:pStyle w:val="ARCopy"/>
      </w:pPr>
      <w:r w:rsidRPr="006D63F9">
        <w:t>28 August</w:t>
      </w:r>
      <w:r w:rsidR="00E5259C" w:rsidRPr="006D63F9">
        <w:t xml:space="preserve"> 2020</w:t>
      </w:r>
    </w:p>
    <w:p w14:paraId="3BDDAB98" w14:textId="77777777" w:rsidR="00E5259C" w:rsidRDefault="00E5259C" w:rsidP="00E5259C">
      <w:pPr>
        <w:pStyle w:val="ARCopy"/>
      </w:pPr>
    </w:p>
    <w:p w14:paraId="420CC00F" w14:textId="77777777" w:rsidR="00E5259C" w:rsidRPr="001C2C9D" w:rsidRDefault="00E5259C" w:rsidP="00E5259C">
      <w:pPr>
        <w:pStyle w:val="ARCopy"/>
        <w:rPr>
          <w:b/>
          <w:bCs/>
        </w:rPr>
      </w:pPr>
      <w:r w:rsidRPr="001C2C9D">
        <w:rPr>
          <w:b/>
          <w:bCs/>
        </w:rPr>
        <w:t>The Honourable Mick de Brenni MP</w:t>
      </w:r>
    </w:p>
    <w:p w14:paraId="7E30D11E" w14:textId="5CB84281" w:rsidR="00E5259C" w:rsidRPr="001C2C9D" w:rsidRDefault="00E5259C" w:rsidP="00E5259C">
      <w:pPr>
        <w:pStyle w:val="ARCopy"/>
        <w:rPr>
          <w:b/>
          <w:bCs/>
        </w:rPr>
      </w:pPr>
      <w:r w:rsidRPr="001C2C9D">
        <w:rPr>
          <w:b/>
          <w:bCs/>
        </w:rPr>
        <w:t>Minister for Housing and Public Works, Minister for Digital Technology, Minister for Spor</w:t>
      </w:r>
      <w:r w:rsidR="009171B6">
        <w:rPr>
          <w:b/>
          <w:bCs/>
        </w:rPr>
        <w:t>t</w:t>
      </w:r>
    </w:p>
    <w:p w14:paraId="31D36BA7" w14:textId="77777777" w:rsidR="00E5259C" w:rsidRDefault="00E5259C" w:rsidP="00E5259C">
      <w:pPr>
        <w:pStyle w:val="ARCopy"/>
      </w:pPr>
    </w:p>
    <w:p w14:paraId="16D5B3F9" w14:textId="2F925206" w:rsidR="00E5259C" w:rsidRDefault="00E5259C" w:rsidP="00E5259C">
      <w:pPr>
        <w:pStyle w:val="ARCopy"/>
      </w:pPr>
      <w:r>
        <w:t>GPO Box 2457</w:t>
      </w:r>
    </w:p>
    <w:p w14:paraId="1F6603D1" w14:textId="4990B2AF" w:rsidR="00E5259C" w:rsidRDefault="00E5259C" w:rsidP="00E5259C">
      <w:pPr>
        <w:pStyle w:val="ARCopy"/>
      </w:pPr>
      <w:r>
        <w:t xml:space="preserve">Brisbane Qld </w:t>
      </w:r>
      <w:bookmarkStart w:id="0" w:name="_GoBack"/>
      <w:bookmarkEnd w:id="0"/>
      <w:r>
        <w:t xml:space="preserve">4001 </w:t>
      </w:r>
    </w:p>
    <w:p w14:paraId="27AD30C9" w14:textId="77777777" w:rsidR="00E5259C" w:rsidRDefault="00E5259C" w:rsidP="00E5259C">
      <w:pPr>
        <w:pStyle w:val="ARCopy"/>
      </w:pPr>
    </w:p>
    <w:p w14:paraId="1E5AC428" w14:textId="77777777" w:rsidR="00E5259C" w:rsidRDefault="00E5259C" w:rsidP="00E5259C">
      <w:pPr>
        <w:pStyle w:val="ARCopy"/>
      </w:pPr>
    </w:p>
    <w:p w14:paraId="1B23FAEA" w14:textId="77777777" w:rsidR="00E5259C" w:rsidRDefault="00E5259C" w:rsidP="00E5259C">
      <w:pPr>
        <w:pStyle w:val="ARCopy"/>
      </w:pPr>
      <w:r>
        <w:t>Dear Minister</w:t>
      </w:r>
    </w:p>
    <w:p w14:paraId="4E5DA851" w14:textId="77777777" w:rsidR="00E5259C" w:rsidRDefault="00E5259C" w:rsidP="00E5259C">
      <w:pPr>
        <w:pStyle w:val="ARCopy"/>
      </w:pPr>
    </w:p>
    <w:p w14:paraId="7A0F05F0" w14:textId="77777777" w:rsidR="00E5259C" w:rsidRDefault="00E5259C" w:rsidP="00E5259C">
      <w:pPr>
        <w:pStyle w:val="ARCopy"/>
      </w:pPr>
      <w:r>
        <w:t>I am pleased to present the Annual Report 2019–20 and financial statements for the Residential Tenancies Authority (RTA).</w:t>
      </w:r>
    </w:p>
    <w:p w14:paraId="2D63B236" w14:textId="77777777" w:rsidR="00E5259C" w:rsidRDefault="00E5259C" w:rsidP="00E5259C">
      <w:pPr>
        <w:pStyle w:val="ARCopy"/>
      </w:pPr>
    </w:p>
    <w:p w14:paraId="64B89C5A" w14:textId="77777777" w:rsidR="00E5259C" w:rsidRDefault="00E5259C" w:rsidP="00E5259C">
      <w:pPr>
        <w:pStyle w:val="ARCopy"/>
      </w:pPr>
      <w:r>
        <w:t>I certify this Annual Report complies with:</w:t>
      </w:r>
    </w:p>
    <w:p w14:paraId="195327A0" w14:textId="49AB2C5C" w:rsidR="00E5259C" w:rsidRDefault="00E5259C" w:rsidP="00E5259C">
      <w:pPr>
        <w:pStyle w:val="ARBullet"/>
      </w:pPr>
      <w:r>
        <w:t xml:space="preserve">the prescribed requirements of the </w:t>
      </w:r>
      <w:r w:rsidRPr="008F0326">
        <w:rPr>
          <w:i/>
          <w:iCs/>
        </w:rPr>
        <w:t>Financial Accountability Act 2009</w:t>
      </w:r>
      <w:r>
        <w:t xml:space="preserve"> (Qld) and the </w:t>
      </w:r>
      <w:r w:rsidRPr="008F0326">
        <w:rPr>
          <w:i/>
          <w:iCs/>
        </w:rPr>
        <w:t>Financial and Performance Management Standard 2009</w:t>
      </w:r>
      <w:r>
        <w:t xml:space="preserve"> (Qld), and</w:t>
      </w:r>
    </w:p>
    <w:p w14:paraId="4C3E6F51" w14:textId="1DB383B6" w:rsidR="00E5259C" w:rsidRPr="00574CCF" w:rsidRDefault="00E5259C" w:rsidP="00E5259C">
      <w:pPr>
        <w:pStyle w:val="ARBullet"/>
        <w:rPr>
          <w:i/>
          <w:iCs/>
        </w:rPr>
      </w:pPr>
      <w:r>
        <w:t xml:space="preserve">the detailed requirements set out in the </w:t>
      </w:r>
      <w:r w:rsidRPr="008F0326">
        <w:rPr>
          <w:i/>
          <w:iCs/>
        </w:rPr>
        <w:t>Annual Report requirements for Queensland Government agencies.</w:t>
      </w:r>
    </w:p>
    <w:p w14:paraId="124164A6" w14:textId="046953BA" w:rsidR="00E5259C" w:rsidRDefault="00E5259C" w:rsidP="00E5259C">
      <w:pPr>
        <w:pStyle w:val="ARCopy"/>
      </w:pPr>
      <w:r>
        <w:t>A checklist outlining compliance with the annual reporting requirements can be found on</w:t>
      </w:r>
      <w:r w:rsidR="006675A3">
        <w:t xml:space="preserve"> 87 </w:t>
      </w:r>
      <w:r>
        <w:t>o</w:t>
      </w:r>
      <w:r w:rsidR="006675A3">
        <w:t xml:space="preserve">f </w:t>
      </w:r>
      <w:r>
        <w:t>this report.</w:t>
      </w:r>
    </w:p>
    <w:p w14:paraId="71BEEF32" w14:textId="77777777" w:rsidR="00E5259C" w:rsidRDefault="00E5259C" w:rsidP="00E5259C">
      <w:pPr>
        <w:pStyle w:val="ARCopy"/>
      </w:pPr>
    </w:p>
    <w:p w14:paraId="44EB4886" w14:textId="77777777" w:rsidR="00E5259C" w:rsidRDefault="00E5259C" w:rsidP="00E5259C">
      <w:pPr>
        <w:pStyle w:val="ARCopy"/>
      </w:pPr>
    </w:p>
    <w:p w14:paraId="6459E673" w14:textId="7DB7C2B8" w:rsidR="00E5259C" w:rsidRDefault="00E5259C" w:rsidP="00A33556">
      <w:pPr>
        <w:pStyle w:val="ARCopy"/>
        <w:spacing w:after="240"/>
      </w:pPr>
      <w:r>
        <w:t xml:space="preserve">Yours sincerely </w:t>
      </w:r>
    </w:p>
    <w:p w14:paraId="3217991A" w14:textId="63BDCBD3" w:rsidR="00E5259C" w:rsidRDefault="00A33556" w:rsidP="00E5259C">
      <w:pPr>
        <w:pStyle w:val="ARCopy"/>
      </w:pPr>
      <w:r>
        <w:rPr>
          <w:noProof/>
        </w:rPr>
        <w:drawing>
          <wp:inline distT="0" distB="0" distL="0" distR="0" wp14:anchorId="034149C7" wp14:editId="5B8B7F72">
            <wp:extent cx="1686296" cy="444486"/>
            <wp:effectExtent l="0" t="0" r="0" b="0"/>
            <wp:docPr id="4" name="Picture 4"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ul Melville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797" cy="451998"/>
                    </a:xfrm>
                    <a:prstGeom prst="rect">
                      <a:avLst/>
                    </a:prstGeom>
                  </pic:spPr>
                </pic:pic>
              </a:graphicData>
            </a:graphic>
          </wp:inline>
        </w:drawing>
      </w:r>
    </w:p>
    <w:p w14:paraId="53960B1B" w14:textId="77777777" w:rsidR="00E5259C" w:rsidRPr="00BE16A8" w:rsidRDefault="00E5259C" w:rsidP="00A33556">
      <w:pPr>
        <w:pStyle w:val="ARCopy"/>
        <w:spacing w:before="240"/>
        <w:rPr>
          <w:b/>
        </w:rPr>
      </w:pPr>
      <w:r w:rsidRPr="00BE16A8">
        <w:rPr>
          <w:b/>
        </w:rPr>
        <w:t>Paul Melville</w:t>
      </w:r>
    </w:p>
    <w:p w14:paraId="7E4F0979" w14:textId="036B29C4" w:rsidR="00E5259C" w:rsidRDefault="00E5259C" w:rsidP="00E5259C">
      <w:pPr>
        <w:pStyle w:val="ARCopy"/>
      </w:pPr>
      <w:r>
        <w:t>Board Chair, Residential Tenancies Authority</w:t>
      </w:r>
    </w:p>
    <w:p w14:paraId="412DEC84" w14:textId="19D75328" w:rsidR="00E5259C" w:rsidRDefault="00E5259C">
      <w:pPr>
        <w:rPr>
          <w:rFonts w:ascii="Calibri Light" w:hAnsi="Calibri Light"/>
          <w:szCs w:val="21"/>
        </w:rPr>
      </w:pPr>
      <w:r>
        <w:br w:type="page"/>
      </w:r>
    </w:p>
    <w:p w14:paraId="1E7197A7" w14:textId="77777777" w:rsidR="008F0326" w:rsidRDefault="008F0326" w:rsidP="008F0326">
      <w:pPr>
        <w:pStyle w:val="ARH2"/>
      </w:pPr>
      <w:r w:rsidRPr="00E5259C">
        <w:lastRenderedPageBreak/>
        <w:t>Contents</w:t>
      </w:r>
    </w:p>
    <w:tbl>
      <w:tblPr>
        <w:tblStyle w:val="TableGrid"/>
        <w:tblW w:w="9638" w:type="dxa"/>
        <w:tblBorders>
          <w:left w:val="none" w:sz="0" w:space="0" w:color="auto"/>
          <w:right w:val="none" w:sz="0" w:space="0" w:color="auto"/>
        </w:tblBorders>
        <w:tblCellMar>
          <w:top w:w="51" w:type="dxa"/>
          <w:left w:w="85" w:type="dxa"/>
          <w:bottom w:w="51" w:type="dxa"/>
          <w:right w:w="113" w:type="dxa"/>
        </w:tblCellMar>
        <w:tblLook w:val="04A0" w:firstRow="1" w:lastRow="0" w:firstColumn="1" w:lastColumn="0" w:noHBand="0" w:noVBand="1"/>
      </w:tblPr>
      <w:tblGrid>
        <w:gridCol w:w="4139"/>
        <w:gridCol w:w="283"/>
        <w:gridCol w:w="4479"/>
        <w:gridCol w:w="737"/>
      </w:tblGrid>
      <w:tr w:rsidR="001C2C9D" w:rsidRPr="00CA62A4" w14:paraId="09A2AFB8" w14:textId="77777777" w:rsidTr="0021223C">
        <w:tc>
          <w:tcPr>
            <w:tcW w:w="4139" w:type="dxa"/>
            <w:tcBorders>
              <w:top w:val="single" w:sz="18" w:space="0" w:color="auto"/>
              <w:left w:val="single" w:sz="2" w:space="0" w:color="auto"/>
              <w:bottom w:val="single" w:sz="4" w:space="0" w:color="auto"/>
              <w:right w:val="nil"/>
            </w:tcBorders>
          </w:tcPr>
          <w:p w14:paraId="197BAD06" w14:textId="53BF219C" w:rsidR="001C2C9D" w:rsidRPr="00CA62A4" w:rsidRDefault="001C2C9D" w:rsidP="008F0326">
            <w:pPr>
              <w:pStyle w:val="ARtableheading"/>
              <w:spacing w:after="0"/>
            </w:pPr>
            <w:r>
              <w:t>Accessibility</w:t>
            </w:r>
          </w:p>
        </w:tc>
        <w:tc>
          <w:tcPr>
            <w:tcW w:w="283" w:type="dxa"/>
            <w:tcBorders>
              <w:top w:val="nil"/>
              <w:bottom w:val="nil"/>
            </w:tcBorders>
          </w:tcPr>
          <w:p w14:paraId="2A25E3F3" w14:textId="77777777" w:rsidR="001C2C9D" w:rsidRPr="00CA62A4" w:rsidRDefault="001C2C9D" w:rsidP="008F0326">
            <w:pPr>
              <w:pStyle w:val="ARtableheading"/>
              <w:spacing w:after="0"/>
            </w:pPr>
          </w:p>
        </w:tc>
        <w:tc>
          <w:tcPr>
            <w:tcW w:w="4479" w:type="dxa"/>
            <w:tcBorders>
              <w:top w:val="single" w:sz="18" w:space="0" w:color="auto"/>
              <w:bottom w:val="single" w:sz="18" w:space="0" w:color="auto"/>
              <w:right w:val="nil"/>
            </w:tcBorders>
            <w:vAlign w:val="center"/>
          </w:tcPr>
          <w:p w14:paraId="06D3A87B" w14:textId="7C4625D2" w:rsidR="001C2C9D" w:rsidRPr="00CA62A4" w:rsidRDefault="001C2C9D" w:rsidP="008F0326">
            <w:pPr>
              <w:pStyle w:val="ARtableheading"/>
              <w:spacing w:after="0"/>
            </w:pPr>
          </w:p>
        </w:tc>
        <w:tc>
          <w:tcPr>
            <w:tcW w:w="737" w:type="dxa"/>
            <w:tcBorders>
              <w:top w:val="single" w:sz="18" w:space="0" w:color="auto"/>
              <w:left w:val="nil"/>
              <w:bottom w:val="single" w:sz="18" w:space="0" w:color="auto"/>
              <w:right w:val="single" w:sz="2" w:space="0" w:color="auto"/>
            </w:tcBorders>
            <w:vAlign w:val="center"/>
          </w:tcPr>
          <w:p w14:paraId="00F31CC0" w14:textId="77777777" w:rsidR="001C2C9D" w:rsidRPr="00CA62A4" w:rsidRDefault="001C2C9D" w:rsidP="008F0326">
            <w:pPr>
              <w:pStyle w:val="ARtableheading"/>
              <w:spacing w:after="0"/>
            </w:pPr>
            <w:r>
              <w:t>Page</w:t>
            </w:r>
          </w:p>
        </w:tc>
      </w:tr>
      <w:tr w:rsidR="001C2C9D" w:rsidRPr="00CA62A4" w14:paraId="4DB2DE4E" w14:textId="77777777" w:rsidTr="0021223C">
        <w:tc>
          <w:tcPr>
            <w:tcW w:w="4139" w:type="dxa"/>
            <w:vMerge w:val="restart"/>
            <w:tcBorders>
              <w:top w:val="single" w:sz="18" w:space="0" w:color="auto"/>
              <w:left w:val="single" w:sz="2" w:space="0" w:color="auto"/>
              <w:bottom w:val="single" w:sz="18" w:space="0" w:color="auto"/>
              <w:right w:val="single" w:sz="2" w:space="0" w:color="auto"/>
            </w:tcBorders>
          </w:tcPr>
          <w:p w14:paraId="6FFDCA98" w14:textId="589D5395" w:rsidR="001C2C9D" w:rsidRPr="001C2C9D" w:rsidRDefault="0047699B" w:rsidP="008F0326">
            <w:pPr>
              <w:pStyle w:val="ARCopy"/>
              <w:rPr>
                <w:sz w:val="20"/>
                <w:szCs w:val="20"/>
              </w:rPr>
            </w:pPr>
            <w:r>
              <w:rPr>
                <w:noProof/>
                <w:sz w:val="20"/>
                <w:szCs w:val="20"/>
              </w:rPr>
              <w:drawing>
                <wp:anchor distT="0" distB="0" distL="114300" distR="114300" simplePos="0" relativeHeight="251628544" behindDoc="0" locked="0" layoutInCell="1" allowOverlap="1" wp14:anchorId="78C3D278" wp14:editId="11A50ECF">
                  <wp:simplePos x="0" y="0"/>
                  <wp:positionH relativeFrom="column">
                    <wp:posOffset>-6985</wp:posOffset>
                  </wp:positionH>
                  <wp:positionV relativeFrom="paragraph">
                    <wp:posOffset>29845</wp:posOffset>
                  </wp:positionV>
                  <wp:extent cx="398145" cy="398145"/>
                  <wp:effectExtent l="0" t="0" r="1905" b="1905"/>
                  <wp:wrapSquare wrapText="bothSides"/>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terpreter_blk_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r w:rsidR="001C2C9D" w:rsidRPr="001C2C9D">
              <w:rPr>
                <w:sz w:val="20"/>
                <w:szCs w:val="20"/>
              </w:rPr>
              <w:t xml:space="preserve">The Queensland Government and the RTA are committed to providing accessible services to Queenslanders from culturally and linguistically diverse backgrounds. If you have difficulty in understanding this report, you can access </w:t>
            </w:r>
            <w:r>
              <w:rPr>
                <w:sz w:val="20"/>
                <w:szCs w:val="20"/>
              </w:rPr>
              <w:br/>
            </w:r>
            <w:r w:rsidR="001C2C9D" w:rsidRPr="001C2C9D">
              <w:rPr>
                <w:sz w:val="20"/>
                <w:szCs w:val="20"/>
              </w:rPr>
              <w:t xml:space="preserve">the Translating and Interpreting Services </w:t>
            </w:r>
            <w:r>
              <w:rPr>
                <w:sz w:val="20"/>
                <w:szCs w:val="20"/>
              </w:rPr>
              <w:br/>
            </w:r>
            <w:r w:rsidR="001C2C9D" w:rsidRPr="001C2C9D">
              <w:rPr>
                <w:sz w:val="20"/>
                <w:szCs w:val="20"/>
              </w:rPr>
              <w:t xml:space="preserve">via qld.gov.au/languages or by phoning </w:t>
            </w:r>
            <w:r>
              <w:rPr>
                <w:sz w:val="20"/>
                <w:szCs w:val="20"/>
              </w:rPr>
              <w:br/>
            </w:r>
            <w:r w:rsidR="001C2C9D" w:rsidRPr="001C2C9D">
              <w:rPr>
                <w:sz w:val="20"/>
                <w:szCs w:val="20"/>
              </w:rPr>
              <w:t>1300 366 311 and we will arrange an interpreter to communicate this report to you.</w:t>
            </w:r>
          </w:p>
          <w:p w14:paraId="76521BB5" w14:textId="77777777" w:rsidR="001C2C9D" w:rsidRPr="001C2C9D" w:rsidRDefault="001C2C9D" w:rsidP="008F0326">
            <w:pPr>
              <w:pStyle w:val="ARCopy"/>
              <w:spacing w:after="0"/>
              <w:rPr>
                <w:b/>
                <w:bCs/>
                <w:sz w:val="20"/>
                <w:szCs w:val="20"/>
              </w:rPr>
            </w:pPr>
            <w:r w:rsidRPr="001C2C9D">
              <w:rPr>
                <w:b/>
                <w:bCs/>
                <w:sz w:val="20"/>
                <w:szCs w:val="20"/>
              </w:rPr>
              <w:t>Additional online reporting</w:t>
            </w:r>
          </w:p>
          <w:p w14:paraId="46FDDD93" w14:textId="77777777" w:rsidR="001C2C9D" w:rsidRPr="001C2C9D" w:rsidRDefault="001C2C9D" w:rsidP="008F0326">
            <w:pPr>
              <w:pStyle w:val="ARCopy"/>
              <w:spacing w:after="0"/>
              <w:rPr>
                <w:sz w:val="20"/>
                <w:szCs w:val="20"/>
              </w:rPr>
            </w:pPr>
            <w:r w:rsidRPr="001C2C9D">
              <w:rPr>
                <w:sz w:val="20"/>
                <w:szCs w:val="20"/>
              </w:rPr>
              <w:t>The following additional annual reporting requirements can be accessed through the Queensland Government Open Data website (data.qld.gov.au):</w:t>
            </w:r>
          </w:p>
          <w:p w14:paraId="142A1CC2" w14:textId="6DC8EB45" w:rsidR="001C2C9D" w:rsidRPr="001C2C9D" w:rsidRDefault="001C2C9D" w:rsidP="008F0326">
            <w:pPr>
              <w:pStyle w:val="ARBullet"/>
              <w:rPr>
                <w:sz w:val="20"/>
                <w:szCs w:val="20"/>
              </w:rPr>
            </w:pPr>
            <w:r w:rsidRPr="001C2C9D">
              <w:rPr>
                <w:sz w:val="20"/>
                <w:szCs w:val="20"/>
              </w:rPr>
              <w:t>consultancies</w:t>
            </w:r>
          </w:p>
          <w:p w14:paraId="2E9DF57A" w14:textId="4FF6953A" w:rsidR="001C2C9D" w:rsidRPr="001C2C9D" w:rsidRDefault="001C2C9D" w:rsidP="008F0326">
            <w:pPr>
              <w:pStyle w:val="ARBullet"/>
              <w:rPr>
                <w:sz w:val="20"/>
                <w:szCs w:val="20"/>
              </w:rPr>
            </w:pPr>
            <w:r w:rsidRPr="001C2C9D">
              <w:rPr>
                <w:sz w:val="20"/>
                <w:szCs w:val="20"/>
              </w:rPr>
              <w:t>overseas travel</w:t>
            </w:r>
          </w:p>
          <w:p w14:paraId="13721A51" w14:textId="41C79FEC" w:rsidR="001C2C9D" w:rsidRPr="001C2C9D" w:rsidRDefault="001C2C9D" w:rsidP="008F0326">
            <w:pPr>
              <w:pStyle w:val="ARBullet"/>
              <w:rPr>
                <w:sz w:val="20"/>
                <w:szCs w:val="20"/>
              </w:rPr>
            </w:pPr>
            <w:r w:rsidRPr="001C2C9D">
              <w:rPr>
                <w:sz w:val="20"/>
                <w:szCs w:val="20"/>
              </w:rPr>
              <w:t>Queensland Language Services Policy.</w:t>
            </w:r>
          </w:p>
          <w:p w14:paraId="1B684EE6" w14:textId="77777777" w:rsidR="001C2C9D" w:rsidRPr="001C2C9D" w:rsidRDefault="001C2C9D" w:rsidP="008F0326">
            <w:pPr>
              <w:pStyle w:val="ARCopy"/>
              <w:spacing w:after="0"/>
              <w:rPr>
                <w:b/>
                <w:bCs/>
                <w:sz w:val="20"/>
                <w:szCs w:val="20"/>
              </w:rPr>
            </w:pPr>
            <w:r w:rsidRPr="001C2C9D">
              <w:rPr>
                <w:b/>
                <w:bCs/>
                <w:sz w:val="20"/>
                <w:szCs w:val="20"/>
              </w:rPr>
              <w:t>Providing feedback</w:t>
            </w:r>
          </w:p>
          <w:p w14:paraId="0BA78D3F" w14:textId="3DCD7B76" w:rsidR="001C2C9D" w:rsidRPr="001C2C9D" w:rsidRDefault="001C2C9D" w:rsidP="008F0326">
            <w:pPr>
              <w:pStyle w:val="ARCopy"/>
              <w:spacing w:after="0"/>
              <w:rPr>
                <w:sz w:val="20"/>
                <w:szCs w:val="20"/>
              </w:rPr>
            </w:pPr>
            <w:r w:rsidRPr="001C2C9D">
              <w:rPr>
                <w:sz w:val="20"/>
                <w:szCs w:val="20"/>
              </w:rPr>
              <w:t xml:space="preserve">Readers are invited to comment on this report by emailing annualreport@rta.qld.gov.au </w:t>
            </w:r>
            <w:r w:rsidR="0047699B">
              <w:rPr>
                <w:sz w:val="20"/>
                <w:szCs w:val="20"/>
              </w:rPr>
              <w:br/>
            </w:r>
            <w:r w:rsidRPr="001C2C9D">
              <w:rPr>
                <w:sz w:val="20"/>
                <w:szCs w:val="20"/>
              </w:rPr>
              <w:t xml:space="preserve">or by calling the RTA Contact Centre on </w:t>
            </w:r>
            <w:r>
              <w:rPr>
                <w:sz w:val="20"/>
                <w:szCs w:val="20"/>
              </w:rPr>
              <w:br/>
            </w:r>
            <w:r w:rsidRPr="001C2C9D">
              <w:rPr>
                <w:sz w:val="20"/>
                <w:szCs w:val="20"/>
              </w:rPr>
              <w:t>1300 366 311.</w:t>
            </w:r>
          </w:p>
          <w:p w14:paraId="35E26C80" w14:textId="77777777" w:rsidR="001C2C9D" w:rsidRPr="001C2C9D" w:rsidRDefault="001C2C9D" w:rsidP="008F0326">
            <w:pPr>
              <w:pStyle w:val="ARCopy"/>
              <w:spacing w:after="0"/>
              <w:rPr>
                <w:sz w:val="20"/>
                <w:szCs w:val="20"/>
              </w:rPr>
            </w:pPr>
          </w:p>
          <w:p w14:paraId="4A693055" w14:textId="77777777" w:rsidR="001C2C9D" w:rsidRPr="001C2C9D" w:rsidRDefault="001C2C9D" w:rsidP="008F0326">
            <w:pPr>
              <w:pStyle w:val="ARCopy"/>
              <w:spacing w:after="0"/>
              <w:rPr>
                <w:b/>
                <w:bCs/>
                <w:sz w:val="20"/>
                <w:szCs w:val="20"/>
              </w:rPr>
            </w:pPr>
            <w:r w:rsidRPr="001C2C9D">
              <w:rPr>
                <w:b/>
                <w:bCs/>
                <w:sz w:val="20"/>
                <w:szCs w:val="20"/>
              </w:rPr>
              <w:t>Copyright</w:t>
            </w:r>
          </w:p>
          <w:p w14:paraId="407011CF" w14:textId="77777777" w:rsidR="001C2C9D" w:rsidRPr="001C2C9D" w:rsidRDefault="001C2C9D" w:rsidP="008F0326">
            <w:pPr>
              <w:pStyle w:val="ARCopy"/>
              <w:rPr>
                <w:sz w:val="20"/>
                <w:szCs w:val="20"/>
              </w:rPr>
            </w:pPr>
            <w:r w:rsidRPr="001C2C9D">
              <w:rPr>
                <w:sz w:val="20"/>
                <w:szCs w:val="20"/>
              </w:rPr>
              <w:t>© The Residential Tenancies Authority 2020</w:t>
            </w:r>
          </w:p>
          <w:p w14:paraId="7EBCE328" w14:textId="77777777" w:rsidR="001C2C9D" w:rsidRPr="001C2C9D" w:rsidRDefault="001C2C9D" w:rsidP="008F0326">
            <w:pPr>
              <w:pStyle w:val="ARCopy"/>
              <w:spacing w:after="0"/>
              <w:rPr>
                <w:b/>
                <w:bCs/>
                <w:sz w:val="20"/>
                <w:szCs w:val="20"/>
              </w:rPr>
            </w:pPr>
            <w:r w:rsidRPr="001C2C9D">
              <w:rPr>
                <w:b/>
                <w:bCs/>
                <w:sz w:val="20"/>
                <w:szCs w:val="20"/>
              </w:rPr>
              <w:t>Licence</w:t>
            </w:r>
          </w:p>
          <w:p w14:paraId="7B08AE2B" w14:textId="6877C863" w:rsidR="0047699B" w:rsidRPr="0047699B" w:rsidRDefault="0047699B" w:rsidP="0047699B">
            <w:pPr>
              <w:pStyle w:val="ARCopy"/>
              <w:spacing w:after="0"/>
              <w:rPr>
                <w:sz w:val="20"/>
                <w:szCs w:val="20"/>
              </w:rPr>
            </w:pPr>
            <w:r>
              <w:rPr>
                <w:noProof/>
                <w:color w:val="FF0000"/>
                <w:sz w:val="20"/>
                <w:szCs w:val="20"/>
              </w:rPr>
              <w:drawing>
                <wp:anchor distT="0" distB="0" distL="114300" distR="114300" simplePos="0" relativeHeight="251629568" behindDoc="0" locked="0" layoutInCell="1" allowOverlap="1" wp14:anchorId="5CEAA700" wp14:editId="0435DF3D">
                  <wp:simplePos x="0" y="0"/>
                  <wp:positionH relativeFrom="column">
                    <wp:posOffset>7620</wp:posOffset>
                  </wp:positionH>
                  <wp:positionV relativeFrom="paragraph">
                    <wp:posOffset>1434465</wp:posOffset>
                  </wp:positionV>
                  <wp:extent cx="640715" cy="225425"/>
                  <wp:effectExtent l="0" t="0" r="6985" b="3175"/>
                  <wp:wrapTopAndBottom/>
                  <wp:docPr id="14" name="Picture 1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y_button_s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715" cy="225425"/>
                          </a:xfrm>
                          <a:prstGeom prst="rect">
                            <a:avLst/>
                          </a:prstGeom>
                        </pic:spPr>
                      </pic:pic>
                    </a:graphicData>
                  </a:graphic>
                  <wp14:sizeRelH relativeFrom="margin">
                    <wp14:pctWidth>0</wp14:pctWidth>
                  </wp14:sizeRelH>
                  <wp14:sizeRelV relativeFrom="margin">
                    <wp14:pctHeight>0</wp14:pctHeight>
                  </wp14:sizeRelV>
                </wp:anchor>
              </w:drawing>
            </w:r>
            <w:r w:rsidR="001C2C9D" w:rsidRPr="001C2C9D">
              <w:rPr>
                <w:sz w:val="20"/>
                <w:szCs w:val="20"/>
              </w:rPr>
              <w:t xml:space="preserve">This Annual Report is licensed by the State of Queensland (Residential Tenancies Authority) under a Creative Commons Attribution (CC BY) 4.0 International licence. You are free to copy, communicate and adapt this Annual Report, as long as you attribute the work to the State of Queensland Residential Tenancies Authority Annual Report 2019–20. To view a copy of this licence visit: creativecommons.org/licenses. </w:t>
            </w:r>
          </w:p>
          <w:p w14:paraId="2DD9F818" w14:textId="0F062D68" w:rsidR="001C2C9D" w:rsidRPr="001C2C9D" w:rsidRDefault="001C2C9D" w:rsidP="0047699B">
            <w:pPr>
              <w:pStyle w:val="ARCopy"/>
              <w:spacing w:before="200"/>
              <w:rPr>
                <w:sz w:val="20"/>
                <w:szCs w:val="20"/>
              </w:rPr>
            </w:pPr>
            <w:r w:rsidRPr="001C2C9D">
              <w:rPr>
                <w:sz w:val="20"/>
                <w:szCs w:val="20"/>
              </w:rPr>
              <w:t>For more information on access and use visit: qgcio.qld.gov.au/documents/information-access-and-use-policy-is33.</w:t>
            </w:r>
          </w:p>
          <w:p w14:paraId="5332796B" w14:textId="42C3A217" w:rsidR="001C2C9D" w:rsidRPr="001C2C9D" w:rsidRDefault="001C2C9D" w:rsidP="008F0326">
            <w:pPr>
              <w:pStyle w:val="ARCopy"/>
              <w:spacing w:after="0"/>
              <w:rPr>
                <w:b/>
                <w:bCs/>
                <w:sz w:val="20"/>
                <w:szCs w:val="20"/>
              </w:rPr>
            </w:pPr>
            <w:r w:rsidRPr="001C2C9D">
              <w:rPr>
                <w:b/>
                <w:bCs/>
                <w:sz w:val="20"/>
                <w:szCs w:val="20"/>
              </w:rPr>
              <w:t>ISSN 18388248</w:t>
            </w:r>
          </w:p>
          <w:p w14:paraId="5BDEF7D1" w14:textId="04D02FCD" w:rsidR="001C2C9D" w:rsidRPr="00E117D8" w:rsidRDefault="001C2C9D" w:rsidP="008F0326">
            <w:pPr>
              <w:pStyle w:val="ARCopy"/>
              <w:spacing w:after="0"/>
            </w:pPr>
            <w:r w:rsidRPr="001C2C9D">
              <w:rPr>
                <w:sz w:val="20"/>
                <w:szCs w:val="20"/>
              </w:rPr>
              <w:t>To read the Residential Tenancies Authority Annual Report 2019–20 online visit: rta.qld.gov.au/annualreport</w:t>
            </w:r>
            <w:r w:rsidR="00A37863">
              <w:rPr>
                <w:sz w:val="20"/>
                <w:szCs w:val="20"/>
              </w:rPr>
              <w:t>.</w:t>
            </w:r>
          </w:p>
        </w:tc>
        <w:tc>
          <w:tcPr>
            <w:tcW w:w="283" w:type="dxa"/>
            <w:tcBorders>
              <w:top w:val="nil"/>
              <w:left w:val="single" w:sz="2" w:space="0" w:color="auto"/>
              <w:bottom w:val="nil"/>
            </w:tcBorders>
          </w:tcPr>
          <w:p w14:paraId="35A52AC4" w14:textId="77777777" w:rsidR="001C2C9D" w:rsidRPr="00E117D8" w:rsidRDefault="001C2C9D" w:rsidP="008F0326">
            <w:pPr>
              <w:pStyle w:val="ARCopy"/>
              <w:spacing w:after="0"/>
            </w:pPr>
          </w:p>
        </w:tc>
        <w:tc>
          <w:tcPr>
            <w:tcW w:w="4479" w:type="dxa"/>
            <w:tcBorders>
              <w:top w:val="single" w:sz="18" w:space="0" w:color="auto"/>
              <w:bottom w:val="single" w:sz="2" w:space="0" w:color="auto"/>
            </w:tcBorders>
          </w:tcPr>
          <w:p w14:paraId="413BE1A3" w14:textId="0AA6A218" w:rsidR="001C2C9D" w:rsidRPr="00CA62A4" w:rsidRDefault="001C2C9D" w:rsidP="008F0326">
            <w:pPr>
              <w:pStyle w:val="ARCopy"/>
              <w:spacing w:after="0"/>
            </w:pPr>
            <w:r w:rsidRPr="00E117D8">
              <w:t>Letter of compliance</w:t>
            </w:r>
          </w:p>
        </w:tc>
        <w:tc>
          <w:tcPr>
            <w:tcW w:w="737" w:type="dxa"/>
            <w:tcBorders>
              <w:top w:val="single" w:sz="18" w:space="0" w:color="auto"/>
              <w:bottom w:val="single" w:sz="2" w:space="0" w:color="auto"/>
              <w:right w:val="single" w:sz="2" w:space="0" w:color="auto"/>
            </w:tcBorders>
            <w:shd w:val="clear" w:color="auto" w:fill="F2F2F2" w:themeFill="background1" w:themeFillShade="F2"/>
            <w:vAlign w:val="center"/>
          </w:tcPr>
          <w:p w14:paraId="314C0D9C" w14:textId="4E6D5C4D" w:rsidR="001C2C9D" w:rsidRPr="00CA62A4" w:rsidRDefault="003B0A24" w:rsidP="008F0326">
            <w:pPr>
              <w:pStyle w:val="ARCopy"/>
              <w:spacing w:after="0"/>
              <w:jc w:val="center"/>
            </w:pPr>
            <w:r>
              <w:t>2</w:t>
            </w:r>
          </w:p>
        </w:tc>
      </w:tr>
      <w:tr w:rsidR="001C2C9D" w:rsidRPr="00CA62A4" w14:paraId="5C86ABC6" w14:textId="77777777" w:rsidTr="0021223C">
        <w:tc>
          <w:tcPr>
            <w:tcW w:w="4139" w:type="dxa"/>
            <w:vMerge/>
            <w:tcBorders>
              <w:top w:val="single" w:sz="18" w:space="0" w:color="auto"/>
              <w:left w:val="single" w:sz="2" w:space="0" w:color="auto"/>
              <w:right w:val="single" w:sz="2" w:space="0" w:color="auto"/>
            </w:tcBorders>
          </w:tcPr>
          <w:p w14:paraId="12362588" w14:textId="77777777" w:rsidR="001C2C9D" w:rsidRPr="00E117D8" w:rsidRDefault="001C2C9D" w:rsidP="008F0326">
            <w:pPr>
              <w:pStyle w:val="ARCopy"/>
              <w:spacing w:after="0"/>
              <w:jc w:val="center"/>
            </w:pPr>
          </w:p>
        </w:tc>
        <w:tc>
          <w:tcPr>
            <w:tcW w:w="283" w:type="dxa"/>
            <w:tcBorders>
              <w:top w:val="nil"/>
              <w:left w:val="single" w:sz="2" w:space="0" w:color="auto"/>
              <w:bottom w:val="nil"/>
            </w:tcBorders>
          </w:tcPr>
          <w:p w14:paraId="21C7AF77" w14:textId="77777777" w:rsidR="001C2C9D" w:rsidRPr="00E117D8" w:rsidRDefault="001C2C9D" w:rsidP="008F0326">
            <w:pPr>
              <w:pStyle w:val="ARCopy"/>
              <w:spacing w:after="0"/>
            </w:pPr>
          </w:p>
        </w:tc>
        <w:tc>
          <w:tcPr>
            <w:tcW w:w="4479" w:type="dxa"/>
            <w:tcBorders>
              <w:top w:val="single" w:sz="2" w:space="0" w:color="auto"/>
              <w:bottom w:val="single" w:sz="2" w:space="0" w:color="auto"/>
            </w:tcBorders>
          </w:tcPr>
          <w:p w14:paraId="62073EDC" w14:textId="1C6675F3" w:rsidR="001C2C9D" w:rsidRPr="00CA62A4" w:rsidRDefault="001C2C9D" w:rsidP="008F0326">
            <w:pPr>
              <w:pStyle w:val="ARCopy"/>
              <w:spacing w:after="0"/>
            </w:pPr>
            <w:r w:rsidRPr="00E117D8">
              <w:t>Chair’s message</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4B0366AC" w14:textId="547AC89E" w:rsidR="001C2C9D" w:rsidRPr="00CA62A4" w:rsidRDefault="003B0A24" w:rsidP="008F0326">
            <w:pPr>
              <w:pStyle w:val="ARCopy"/>
              <w:spacing w:after="0"/>
              <w:jc w:val="center"/>
            </w:pPr>
            <w:r>
              <w:t>4</w:t>
            </w:r>
          </w:p>
        </w:tc>
      </w:tr>
      <w:tr w:rsidR="001C2C9D" w:rsidRPr="00CA62A4" w14:paraId="7F45D453" w14:textId="77777777" w:rsidTr="006A6831">
        <w:tc>
          <w:tcPr>
            <w:tcW w:w="4139" w:type="dxa"/>
            <w:vMerge/>
            <w:tcBorders>
              <w:top w:val="single" w:sz="18" w:space="0" w:color="auto"/>
              <w:left w:val="single" w:sz="2" w:space="0" w:color="auto"/>
            </w:tcBorders>
          </w:tcPr>
          <w:p w14:paraId="3F9D452C" w14:textId="77777777" w:rsidR="001C2C9D" w:rsidRPr="00E117D8" w:rsidRDefault="001C2C9D" w:rsidP="008F0326">
            <w:pPr>
              <w:pStyle w:val="ARCopy"/>
              <w:spacing w:after="0"/>
              <w:jc w:val="center"/>
            </w:pPr>
          </w:p>
        </w:tc>
        <w:tc>
          <w:tcPr>
            <w:tcW w:w="283" w:type="dxa"/>
            <w:tcBorders>
              <w:top w:val="nil"/>
              <w:bottom w:val="nil"/>
            </w:tcBorders>
          </w:tcPr>
          <w:p w14:paraId="0219ED08" w14:textId="77777777" w:rsidR="001C2C9D" w:rsidRPr="00E117D8" w:rsidRDefault="001C2C9D" w:rsidP="008F0326">
            <w:pPr>
              <w:pStyle w:val="ARCopy"/>
              <w:spacing w:after="0"/>
            </w:pPr>
          </w:p>
        </w:tc>
        <w:tc>
          <w:tcPr>
            <w:tcW w:w="4479" w:type="dxa"/>
            <w:tcBorders>
              <w:top w:val="single" w:sz="2" w:space="0" w:color="auto"/>
              <w:bottom w:val="single" w:sz="2" w:space="0" w:color="auto"/>
            </w:tcBorders>
          </w:tcPr>
          <w:p w14:paraId="3578BC39" w14:textId="04A326F3" w:rsidR="001C2C9D" w:rsidRPr="00CA62A4" w:rsidRDefault="001C2C9D" w:rsidP="008F0326">
            <w:pPr>
              <w:pStyle w:val="ARCopy"/>
              <w:spacing w:after="0"/>
            </w:pPr>
            <w:r w:rsidRPr="00E117D8">
              <w:t>CEO’s message</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73D9A2C2" w14:textId="056F3CA7" w:rsidR="001C2C9D" w:rsidRPr="00CA62A4" w:rsidRDefault="003B0A24" w:rsidP="008F0326">
            <w:pPr>
              <w:pStyle w:val="ARCopy"/>
              <w:spacing w:after="0"/>
              <w:jc w:val="center"/>
            </w:pPr>
            <w:r>
              <w:t>5</w:t>
            </w:r>
          </w:p>
        </w:tc>
      </w:tr>
      <w:tr w:rsidR="001C2C9D" w:rsidRPr="00CA62A4" w14:paraId="5B8AACC0" w14:textId="77777777" w:rsidTr="006A6831">
        <w:tc>
          <w:tcPr>
            <w:tcW w:w="4139" w:type="dxa"/>
            <w:vMerge/>
            <w:tcBorders>
              <w:top w:val="single" w:sz="18" w:space="0" w:color="auto"/>
              <w:left w:val="single" w:sz="2" w:space="0" w:color="auto"/>
            </w:tcBorders>
          </w:tcPr>
          <w:p w14:paraId="5B5DC21E" w14:textId="77777777" w:rsidR="001C2C9D" w:rsidRPr="00E117D8" w:rsidRDefault="001C2C9D" w:rsidP="008F0326">
            <w:pPr>
              <w:pStyle w:val="ARCopy"/>
              <w:spacing w:after="0"/>
              <w:jc w:val="center"/>
            </w:pPr>
          </w:p>
        </w:tc>
        <w:tc>
          <w:tcPr>
            <w:tcW w:w="283" w:type="dxa"/>
            <w:tcBorders>
              <w:top w:val="nil"/>
              <w:bottom w:val="nil"/>
            </w:tcBorders>
          </w:tcPr>
          <w:p w14:paraId="1BE82C8E" w14:textId="77777777" w:rsidR="001C2C9D" w:rsidRPr="00E117D8" w:rsidRDefault="001C2C9D" w:rsidP="008F0326">
            <w:pPr>
              <w:pStyle w:val="ARCopy"/>
              <w:spacing w:after="0"/>
            </w:pPr>
          </w:p>
        </w:tc>
        <w:tc>
          <w:tcPr>
            <w:tcW w:w="4479" w:type="dxa"/>
            <w:tcBorders>
              <w:top w:val="single" w:sz="2" w:space="0" w:color="auto"/>
              <w:bottom w:val="single" w:sz="2" w:space="0" w:color="auto"/>
            </w:tcBorders>
          </w:tcPr>
          <w:p w14:paraId="34EF6B11" w14:textId="37A6FA96" w:rsidR="001C2C9D" w:rsidRPr="00CA62A4" w:rsidRDefault="001C2C9D" w:rsidP="008F0326">
            <w:pPr>
              <w:pStyle w:val="ARCopy"/>
              <w:spacing w:after="0"/>
            </w:pPr>
            <w:r w:rsidRPr="00E117D8">
              <w:t>About us</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5FEB28D7" w14:textId="177691AF" w:rsidR="001C2C9D" w:rsidRPr="00CA62A4" w:rsidRDefault="003B0A24" w:rsidP="008F0326">
            <w:pPr>
              <w:pStyle w:val="ARCopy"/>
              <w:spacing w:after="0"/>
              <w:jc w:val="center"/>
            </w:pPr>
            <w:r>
              <w:t>6</w:t>
            </w:r>
          </w:p>
        </w:tc>
      </w:tr>
      <w:tr w:rsidR="001C2C9D" w:rsidRPr="00CA62A4" w14:paraId="5E6FF038" w14:textId="77777777" w:rsidTr="006A6831">
        <w:tc>
          <w:tcPr>
            <w:tcW w:w="4139" w:type="dxa"/>
            <w:vMerge/>
            <w:tcBorders>
              <w:top w:val="single" w:sz="18" w:space="0" w:color="auto"/>
              <w:left w:val="single" w:sz="2" w:space="0" w:color="auto"/>
            </w:tcBorders>
          </w:tcPr>
          <w:p w14:paraId="3AB2FC6A" w14:textId="77777777" w:rsidR="001C2C9D" w:rsidRPr="00B2046F" w:rsidRDefault="001C2C9D" w:rsidP="008F0326">
            <w:pPr>
              <w:pStyle w:val="ARCopy"/>
              <w:spacing w:after="0"/>
              <w:jc w:val="center"/>
            </w:pPr>
          </w:p>
        </w:tc>
        <w:tc>
          <w:tcPr>
            <w:tcW w:w="283" w:type="dxa"/>
            <w:tcBorders>
              <w:top w:val="nil"/>
              <w:bottom w:val="nil"/>
            </w:tcBorders>
          </w:tcPr>
          <w:p w14:paraId="2A1933D6" w14:textId="77777777" w:rsidR="001C2C9D" w:rsidRPr="00B2046F" w:rsidRDefault="001C2C9D" w:rsidP="008F0326">
            <w:pPr>
              <w:pStyle w:val="ARCopy"/>
              <w:spacing w:after="0"/>
            </w:pPr>
          </w:p>
        </w:tc>
        <w:tc>
          <w:tcPr>
            <w:tcW w:w="4479" w:type="dxa"/>
            <w:tcBorders>
              <w:top w:val="single" w:sz="2" w:space="0" w:color="auto"/>
              <w:bottom w:val="single" w:sz="2" w:space="0" w:color="auto"/>
            </w:tcBorders>
          </w:tcPr>
          <w:p w14:paraId="72122A1F" w14:textId="350208D2" w:rsidR="001C2C9D" w:rsidRPr="00CA62A4" w:rsidRDefault="001C2C9D" w:rsidP="008F0326">
            <w:pPr>
              <w:pStyle w:val="ARCopy"/>
              <w:spacing w:after="0"/>
            </w:pPr>
            <w:r w:rsidRPr="00B2046F">
              <w:t>Our operations</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3DE6E870" w14:textId="3ABFB733" w:rsidR="001C2C9D" w:rsidRPr="00CA62A4" w:rsidRDefault="003B0A24" w:rsidP="008F0326">
            <w:pPr>
              <w:pStyle w:val="ARCopy"/>
              <w:spacing w:after="0"/>
              <w:jc w:val="center"/>
            </w:pPr>
            <w:r>
              <w:t>7</w:t>
            </w:r>
          </w:p>
        </w:tc>
      </w:tr>
      <w:tr w:rsidR="001C2C9D" w:rsidRPr="00CA62A4" w14:paraId="499AAB51" w14:textId="77777777" w:rsidTr="006A6831">
        <w:tc>
          <w:tcPr>
            <w:tcW w:w="4139" w:type="dxa"/>
            <w:vMerge/>
            <w:tcBorders>
              <w:top w:val="single" w:sz="18" w:space="0" w:color="auto"/>
              <w:left w:val="single" w:sz="2" w:space="0" w:color="auto"/>
            </w:tcBorders>
          </w:tcPr>
          <w:p w14:paraId="050A7BAF" w14:textId="77777777" w:rsidR="001C2C9D" w:rsidRPr="00B2046F" w:rsidRDefault="001C2C9D" w:rsidP="008F0326">
            <w:pPr>
              <w:pStyle w:val="ARCopy"/>
              <w:spacing w:after="0"/>
              <w:jc w:val="center"/>
            </w:pPr>
          </w:p>
        </w:tc>
        <w:tc>
          <w:tcPr>
            <w:tcW w:w="283" w:type="dxa"/>
            <w:tcBorders>
              <w:top w:val="nil"/>
              <w:bottom w:val="nil"/>
            </w:tcBorders>
          </w:tcPr>
          <w:p w14:paraId="65295FA4" w14:textId="77777777" w:rsidR="001C2C9D" w:rsidRPr="00B2046F" w:rsidRDefault="001C2C9D" w:rsidP="008F0326">
            <w:pPr>
              <w:pStyle w:val="ARCopy"/>
              <w:spacing w:after="0"/>
            </w:pPr>
          </w:p>
        </w:tc>
        <w:tc>
          <w:tcPr>
            <w:tcW w:w="4479" w:type="dxa"/>
            <w:tcBorders>
              <w:top w:val="single" w:sz="2" w:space="0" w:color="auto"/>
              <w:bottom w:val="single" w:sz="2" w:space="0" w:color="auto"/>
            </w:tcBorders>
          </w:tcPr>
          <w:p w14:paraId="752F07F4" w14:textId="3E3DD536" w:rsidR="001C2C9D" w:rsidRPr="00CA62A4" w:rsidRDefault="001C2C9D" w:rsidP="008F0326">
            <w:pPr>
              <w:pStyle w:val="ARCopy"/>
              <w:spacing w:after="0"/>
            </w:pPr>
            <w:r w:rsidRPr="00B2046F">
              <w:t>Our customers</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285114E0" w14:textId="67E3E416" w:rsidR="001C2C9D" w:rsidRPr="00CA62A4" w:rsidRDefault="003B0A24" w:rsidP="008F0326">
            <w:pPr>
              <w:pStyle w:val="ARCopy"/>
              <w:spacing w:after="0"/>
              <w:jc w:val="center"/>
            </w:pPr>
            <w:r>
              <w:t>8</w:t>
            </w:r>
          </w:p>
        </w:tc>
      </w:tr>
      <w:tr w:rsidR="001C2C9D" w:rsidRPr="00CA62A4" w14:paraId="71EA5521" w14:textId="77777777" w:rsidTr="006A6831">
        <w:tc>
          <w:tcPr>
            <w:tcW w:w="4139" w:type="dxa"/>
            <w:vMerge/>
            <w:tcBorders>
              <w:top w:val="single" w:sz="18" w:space="0" w:color="auto"/>
              <w:left w:val="single" w:sz="2" w:space="0" w:color="auto"/>
            </w:tcBorders>
          </w:tcPr>
          <w:p w14:paraId="36679086" w14:textId="77777777" w:rsidR="001C2C9D" w:rsidRPr="008F0326" w:rsidRDefault="001C2C9D" w:rsidP="008F0326">
            <w:pPr>
              <w:pStyle w:val="ARCopy"/>
              <w:spacing w:after="0"/>
              <w:jc w:val="center"/>
              <w:rPr>
                <w:b/>
                <w:bCs/>
              </w:rPr>
            </w:pPr>
          </w:p>
        </w:tc>
        <w:tc>
          <w:tcPr>
            <w:tcW w:w="283" w:type="dxa"/>
            <w:tcBorders>
              <w:top w:val="nil"/>
              <w:bottom w:val="nil"/>
            </w:tcBorders>
          </w:tcPr>
          <w:p w14:paraId="63DA787E" w14:textId="77777777" w:rsidR="001C2C9D" w:rsidRPr="008F0326" w:rsidRDefault="001C2C9D" w:rsidP="008F0326">
            <w:pPr>
              <w:pStyle w:val="ARCopy"/>
              <w:spacing w:after="0"/>
              <w:rPr>
                <w:b/>
                <w:bCs/>
              </w:rPr>
            </w:pPr>
          </w:p>
        </w:tc>
        <w:tc>
          <w:tcPr>
            <w:tcW w:w="4479" w:type="dxa"/>
            <w:tcBorders>
              <w:top w:val="single" w:sz="2" w:space="0" w:color="auto"/>
              <w:bottom w:val="single" w:sz="2" w:space="0" w:color="auto"/>
            </w:tcBorders>
          </w:tcPr>
          <w:p w14:paraId="4DAB2960" w14:textId="7F470D69" w:rsidR="001C2C9D" w:rsidRPr="008F0326" w:rsidRDefault="001C2C9D" w:rsidP="008F0326">
            <w:pPr>
              <w:pStyle w:val="ARCopy"/>
              <w:spacing w:after="0"/>
              <w:rPr>
                <w:b/>
                <w:bCs/>
              </w:rPr>
            </w:pPr>
            <w:r w:rsidRPr="008F0326">
              <w:rPr>
                <w:b/>
                <w:bCs/>
              </w:rPr>
              <w:t>Our customised services</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3A5F37BE" w14:textId="43F244BB" w:rsidR="001C2C9D" w:rsidRPr="00CA62A4" w:rsidRDefault="003B0A24" w:rsidP="008F0326">
            <w:pPr>
              <w:pStyle w:val="ARCopy"/>
              <w:spacing w:after="0"/>
              <w:jc w:val="center"/>
            </w:pPr>
            <w:r>
              <w:t>13</w:t>
            </w:r>
          </w:p>
        </w:tc>
      </w:tr>
      <w:tr w:rsidR="001C2C9D" w:rsidRPr="00CA62A4" w14:paraId="65A9AC74" w14:textId="77777777" w:rsidTr="006A6831">
        <w:tc>
          <w:tcPr>
            <w:tcW w:w="4139" w:type="dxa"/>
            <w:vMerge/>
            <w:tcBorders>
              <w:top w:val="single" w:sz="18" w:space="0" w:color="auto"/>
              <w:left w:val="single" w:sz="2" w:space="0" w:color="auto"/>
            </w:tcBorders>
          </w:tcPr>
          <w:p w14:paraId="769AFF85" w14:textId="77777777" w:rsidR="001C2C9D" w:rsidRPr="00B2046F" w:rsidRDefault="001C2C9D" w:rsidP="008F0326">
            <w:pPr>
              <w:pStyle w:val="ARBullet"/>
              <w:spacing w:after="0"/>
              <w:jc w:val="center"/>
            </w:pPr>
          </w:p>
        </w:tc>
        <w:tc>
          <w:tcPr>
            <w:tcW w:w="283" w:type="dxa"/>
            <w:tcBorders>
              <w:top w:val="nil"/>
              <w:bottom w:val="nil"/>
            </w:tcBorders>
          </w:tcPr>
          <w:p w14:paraId="66F4A407" w14:textId="77777777" w:rsidR="001C2C9D" w:rsidRPr="00B2046F" w:rsidRDefault="001C2C9D" w:rsidP="008F0326">
            <w:pPr>
              <w:pStyle w:val="ARBullet"/>
              <w:spacing w:after="0"/>
            </w:pPr>
          </w:p>
        </w:tc>
        <w:tc>
          <w:tcPr>
            <w:tcW w:w="4479" w:type="dxa"/>
            <w:tcBorders>
              <w:top w:val="single" w:sz="2" w:space="0" w:color="auto"/>
              <w:bottom w:val="single" w:sz="2" w:space="0" w:color="auto"/>
            </w:tcBorders>
          </w:tcPr>
          <w:p w14:paraId="45D0BC6A" w14:textId="4F4D63A6" w:rsidR="001C2C9D" w:rsidRPr="00CA62A4" w:rsidRDefault="001C2C9D" w:rsidP="00BC3CB7">
            <w:pPr>
              <w:pStyle w:val="ARBullet"/>
              <w:numPr>
                <w:ilvl w:val="0"/>
                <w:numId w:val="0"/>
              </w:numPr>
              <w:spacing w:after="0"/>
            </w:pPr>
            <w:r w:rsidRPr="00B2046F">
              <w:t>Bond management</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73D8F7DC" w14:textId="7B18C9A4" w:rsidR="001C2C9D" w:rsidRPr="00CA62A4" w:rsidRDefault="003B0A24" w:rsidP="008F0326">
            <w:pPr>
              <w:pStyle w:val="ARCopy"/>
              <w:spacing w:after="0"/>
              <w:jc w:val="center"/>
            </w:pPr>
            <w:r>
              <w:t>14</w:t>
            </w:r>
          </w:p>
        </w:tc>
      </w:tr>
      <w:tr w:rsidR="001C2C9D" w:rsidRPr="00CA62A4" w14:paraId="40D3ACF6" w14:textId="77777777" w:rsidTr="006A6831">
        <w:tc>
          <w:tcPr>
            <w:tcW w:w="4139" w:type="dxa"/>
            <w:vMerge/>
            <w:tcBorders>
              <w:top w:val="single" w:sz="18" w:space="0" w:color="auto"/>
              <w:left w:val="single" w:sz="2" w:space="0" w:color="auto"/>
            </w:tcBorders>
          </w:tcPr>
          <w:p w14:paraId="262D066A" w14:textId="77777777" w:rsidR="001C2C9D" w:rsidRPr="00B2046F" w:rsidRDefault="001C2C9D" w:rsidP="008F0326">
            <w:pPr>
              <w:pStyle w:val="ARBullet"/>
              <w:spacing w:after="0"/>
              <w:jc w:val="center"/>
            </w:pPr>
          </w:p>
        </w:tc>
        <w:tc>
          <w:tcPr>
            <w:tcW w:w="283" w:type="dxa"/>
            <w:tcBorders>
              <w:top w:val="nil"/>
              <w:bottom w:val="nil"/>
            </w:tcBorders>
          </w:tcPr>
          <w:p w14:paraId="5434910F" w14:textId="77777777" w:rsidR="001C2C9D" w:rsidRPr="00B2046F" w:rsidRDefault="001C2C9D" w:rsidP="008F0326">
            <w:pPr>
              <w:pStyle w:val="ARBullet"/>
              <w:spacing w:after="0"/>
            </w:pPr>
          </w:p>
        </w:tc>
        <w:tc>
          <w:tcPr>
            <w:tcW w:w="4479" w:type="dxa"/>
            <w:tcBorders>
              <w:top w:val="single" w:sz="2" w:space="0" w:color="auto"/>
              <w:bottom w:val="single" w:sz="2" w:space="0" w:color="auto"/>
            </w:tcBorders>
          </w:tcPr>
          <w:p w14:paraId="3949CFF5" w14:textId="5245A0BF" w:rsidR="001C2C9D" w:rsidRPr="00CA62A4" w:rsidRDefault="001C2C9D" w:rsidP="00BC3CB7">
            <w:pPr>
              <w:pStyle w:val="ARBullet"/>
              <w:numPr>
                <w:ilvl w:val="0"/>
                <w:numId w:val="0"/>
              </w:numPr>
              <w:spacing w:after="0"/>
            </w:pPr>
            <w:r w:rsidRPr="00B2046F">
              <w:t>Contact Centre</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5FBBC078" w14:textId="768396B5" w:rsidR="001C2C9D" w:rsidRPr="00CA62A4" w:rsidRDefault="003B0A24" w:rsidP="008F0326">
            <w:pPr>
              <w:pStyle w:val="ARCopy"/>
              <w:spacing w:after="0"/>
              <w:jc w:val="center"/>
            </w:pPr>
            <w:r>
              <w:t>15</w:t>
            </w:r>
          </w:p>
        </w:tc>
      </w:tr>
      <w:tr w:rsidR="001C2C9D" w:rsidRPr="00CA62A4" w14:paraId="51253E70" w14:textId="77777777" w:rsidTr="006A6831">
        <w:tc>
          <w:tcPr>
            <w:tcW w:w="4139" w:type="dxa"/>
            <w:vMerge/>
            <w:tcBorders>
              <w:top w:val="single" w:sz="18" w:space="0" w:color="auto"/>
              <w:left w:val="single" w:sz="2" w:space="0" w:color="auto"/>
            </w:tcBorders>
          </w:tcPr>
          <w:p w14:paraId="64C4FD58" w14:textId="77777777" w:rsidR="001C2C9D" w:rsidRPr="008F0326" w:rsidRDefault="001C2C9D" w:rsidP="008F0326">
            <w:pPr>
              <w:pStyle w:val="ARBullet"/>
              <w:spacing w:after="0"/>
              <w:jc w:val="center"/>
            </w:pPr>
          </w:p>
        </w:tc>
        <w:tc>
          <w:tcPr>
            <w:tcW w:w="283" w:type="dxa"/>
            <w:tcBorders>
              <w:top w:val="nil"/>
              <w:bottom w:val="nil"/>
            </w:tcBorders>
          </w:tcPr>
          <w:p w14:paraId="488B9755" w14:textId="77777777" w:rsidR="001C2C9D" w:rsidRPr="008F0326" w:rsidRDefault="001C2C9D" w:rsidP="008F0326">
            <w:pPr>
              <w:pStyle w:val="ARBullet"/>
              <w:spacing w:after="0"/>
            </w:pPr>
          </w:p>
        </w:tc>
        <w:tc>
          <w:tcPr>
            <w:tcW w:w="4479" w:type="dxa"/>
            <w:tcBorders>
              <w:top w:val="single" w:sz="2" w:space="0" w:color="auto"/>
              <w:bottom w:val="single" w:sz="2" w:space="0" w:color="auto"/>
            </w:tcBorders>
          </w:tcPr>
          <w:p w14:paraId="139F2C64" w14:textId="7FADC5D6" w:rsidR="001C2C9D" w:rsidRPr="00CA62A4" w:rsidRDefault="001C2C9D" w:rsidP="00BC3CB7">
            <w:pPr>
              <w:pStyle w:val="ARBullet"/>
              <w:numPr>
                <w:ilvl w:val="0"/>
                <w:numId w:val="0"/>
              </w:numPr>
              <w:spacing w:after="0"/>
            </w:pPr>
            <w:r w:rsidRPr="008F0326">
              <w:t>Dispute resolution</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5C76B5B1" w14:textId="07FDD948" w:rsidR="001C2C9D" w:rsidRPr="00CA62A4" w:rsidRDefault="003B0A24" w:rsidP="008F0326">
            <w:pPr>
              <w:pStyle w:val="ARCopy"/>
              <w:spacing w:after="0"/>
              <w:jc w:val="center"/>
            </w:pPr>
            <w:r>
              <w:t>15</w:t>
            </w:r>
          </w:p>
        </w:tc>
      </w:tr>
      <w:tr w:rsidR="001C2C9D" w:rsidRPr="00CA62A4" w14:paraId="78058095" w14:textId="77777777" w:rsidTr="006A6831">
        <w:tc>
          <w:tcPr>
            <w:tcW w:w="4139" w:type="dxa"/>
            <w:vMerge/>
            <w:tcBorders>
              <w:top w:val="single" w:sz="18" w:space="0" w:color="auto"/>
              <w:left w:val="single" w:sz="2" w:space="0" w:color="auto"/>
            </w:tcBorders>
          </w:tcPr>
          <w:p w14:paraId="2510F6D8" w14:textId="77777777" w:rsidR="001C2C9D" w:rsidRPr="008F0326" w:rsidRDefault="001C2C9D" w:rsidP="008F0326">
            <w:pPr>
              <w:pStyle w:val="ARCopy"/>
              <w:spacing w:after="0"/>
              <w:jc w:val="center"/>
              <w:rPr>
                <w:b/>
                <w:bCs/>
              </w:rPr>
            </w:pPr>
          </w:p>
        </w:tc>
        <w:tc>
          <w:tcPr>
            <w:tcW w:w="283" w:type="dxa"/>
            <w:tcBorders>
              <w:top w:val="nil"/>
              <w:bottom w:val="nil"/>
            </w:tcBorders>
          </w:tcPr>
          <w:p w14:paraId="6AB009D4" w14:textId="77777777" w:rsidR="001C2C9D" w:rsidRPr="008F0326" w:rsidRDefault="001C2C9D" w:rsidP="008F0326">
            <w:pPr>
              <w:pStyle w:val="ARCopy"/>
              <w:spacing w:after="0"/>
              <w:rPr>
                <w:b/>
                <w:bCs/>
              </w:rPr>
            </w:pPr>
          </w:p>
        </w:tc>
        <w:tc>
          <w:tcPr>
            <w:tcW w:w="4479" w:type="dxa"/>
            <w:tcBorders>
              <w:top w:val="single" w:sz="2" w:space="0" w:color="auto"/>
              <w:bottom w:val="single" w:sz="2" w:space="0" w:color="auto"/>
            </w:tcBorders>
          </w:tcPr>
          <w:p w14:paraId="1CD92130" w14:textId="2E3963A2" w:rsidR="001C2C9D" w:rsidRPr="008F0326" w:rsidRDefault="001C2C9D" w:rsidP="008F0326">
            <w:pPr>
              <w:pStyle w:val="ARCopy"/>
              <w:spacing w:after="0"/>
              <w:rPr>
                <w:b/>
                <w:bCs/>
              </w:rPr>
            </w:pPr>
            <w:r w:rsidRPr="008F0326">
              <w:rPr>
                <w:b/>
                <w:bCs/>
              </w:rPr>
              <w:t>RTA’s COVID-19 response</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50DAE163" w14:textId="5DCA3BCF" w:rsidR="001C2C9D" w:rsidRPr="00CA62A4" w:rsidRDefault="003B0A24" w:rsidP="008F0326">
            <w:pPr>
              <w:pStyle w:val="ARCopy"/>
              <w:spacing w:after="0"/>
              <w:jc w:val="center"/>
            </w:pPr>
            <w:r>
              <w:t>17</w:t>
            </w:r>
          </w:p>
        </w:tc>
      </w:tr>
      <w:tr w:rsidR="001C2C9D" w:rsidRPr="00CA62A4" w14:paraId="27CBC0E6" w14:textId="77777777" w:rsidTr="006A6831">
        <w:tc>
          <w:tcPr>
            <w:tcW w:w="4139" w:type="dxa"/>
            <w:vMerge/>
            <w:tcBorders>
              <w:top w:val="single" w:sz="18" w:space="0" w:color="auto"/>
              <w:left w:val="single" w:sz="2" w:space="0" w:color="auto"/>
            </w:tcBorders>
          </w:tcPr>
          <w:p w14:paraId="55786369" w14:textId="77777777" w:rsidR="001C2C9D" w:rsidRPr="008F0326" w:rsidRDefault="001C2C9D" w:rsidP="008F0326">
            <w:pPr>
              <w:pStyle w:val="ARCopy"/>
              <w:spacing w:after="0"/>
              <w:jc w:val="center"/>
              <w:rPr>
                <w:b/>
                <w:bCs/>
              </w:rPr>
            </w:pPr>
          </w:p>
        </w:tc>
        <w:tc>
          <w:tcPr>
            <w:tcW w:w="283" w:type="dxa"/>
            <w:tcBorders>
              <w:top w:val="nil"/>
              <w:bottom w:val="nil"/>
            </w:tcBorders>
          </w:tcPr>
          <w:p w14:paraId="0CC14E14" w14:textId="77777777" w:rsidR="001C2C9D" w:rsidRPr="008F0326" w:rsidRDefault="001C2C9D" w:rsidP="008F0326">
            <w:pPr>
              <w:pStyle w:val="ARCopy"/>
              <w:spacing w:after="0"/>
              <w:rPr>
                <w:b/>
                <w:bCs/>
              </w:rPr>
            </w:pPr>
          </w:p>
        </w:tc>
        <w:tc>
          <w:tcPr>
            <w:tcW w:w="4479" w:type="dxa"/>
            <w:tcBorders>
              <w:top w:val="single" w:sz="2" w:space="0" w:color="auto"/>
              <w:bottom w:val="single" w:sz="2" w:space="0" w:color="auto"/>
            </w:tcBorders>
          </w:tcPr>
          <w:p w14:paraId="0622CA5F" w14:textId="7E75EAE5" w:rsidR="001C2C9D" w:rsidRPr="008F0326" w:rsidRDefault="001C2C9D" w:rsidP="008F0326">
            <w:pPr>
              <w:pStyle w:val="ARCopy"/>
              <w:spacing w:after="0"/>
              <w:rPr>
                <w:b/>
                <w:bCs/>
              </w:rPr>
            </w:pPr>
            <w:r w:rsidRPr="008F0326">
              <w:rPr>
                <w:b/>
                <w:bCs/>
              </w:rPr>
              <w:t>Our sector</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7FBA43E6" w14:textId="744474BC" w:rsidR="001C2C9D" w:rsidRPr="00CA62A4" w:rsidRDefault="003B0A24" w:rsidP="008F0326">
            <w:pPr>
              <w:pStyle w:val="ARCopy"/>
              <w:spacing w:after="0"/>
              <w:jc w:val="center"/>
            </w:pPr>
            <w:r>
              <w:t>20</w:t>
            </w:r>
          </w:p>
        </w:tc>
      </w:tr>
      <w:tr w:rsidR="001C2C9D" w:rsidRPr="00CA62A4" w14:paraId="7AC5A524" w14:textId="77777777" w:rsidTr="006A6831">
        <w:tc>
          <w:tcPr>
            <w:tcW w:w="4139" w:type="dxa"/>
            <w:vMerge/>
            <w:tcBorders>
              <w:top w:val="single" w:sz="18" w:space="0" w:color="auto"/>
              <w:left w:val="single" w:sz="2" w:space="0" w:color="auto"/>
            </w:tcBorders>
          </w:tcPr>
          <w:p w14:paraId="10490371" w14:textId="77777777" w:rsidR="001C2C9D" w:rsidRPr="004F3DE2" w:rsidRDefault="001C2C9D" w:rsidP="008F0326">
            <w:pPr>
              <w:pStyle w:val="ARCopy"/>
              <w:spacing w:after="0"/>
              <w:jc w:val="center"/>
            </w:pPr>
          </w:p>
        </w:tc>
        <w:tc>
          <w:tcPr>
            <w:tcW w:w="283" w:type="dxa"/>
            <w:tcBorders>
              <w:top w:val="nil"/>
              <w:bottom w:val="nil"/>
            </w:tcBorders>
          </w:tcPr>
          <w:p w14:paraId="300439F0" w14:textId="77777777" w:rsidR="001C2C9D" w:rsidRPr="004F3DE2" w:rsidRDefault="001C2C9D" w:rsidP="008F0326">
            <w:pPr>
              <w:pStyle w:val="ARCopy"/>
              <w:spacing w:after="0"/>
            </w:pPr>
          </w:p>
        </w:tc>
        <w:tc>
          <w:tcPr>
            <w:tcW w:w="4479" w:type="dxa"/>
            <w:tcBorders>
              <w:top w:val="single" w:sz="2" w:space="0" w:color="auto"/>
              <w:bottom w:val="single" w:sz="2" w:space="0" w:color="auto"/>
            </w:tcBorders>
          </w:tcPr>
          <w:p w14:paraId="7716A3A9" w14:textId="6EDD048B" w:rsidR="001C2C9D" w:rsidRPr="00CA62A4" w:rsidRDefault="001C2C9D" w:rsidP="008F0326">
            <w:pPr>
              <w:pStyle w:val="ARCopy"/>
              <w:spacing w:after="0"/>
            </w:pPr>
            <w:r w:rsidRPr="004F3DE2">
              <w:t>Tenancy support and stakeholder engagement</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3A917F19" w14:textId="73DDBD61" w:rsidR="001C2C9D" w:rsidRPr="00CA62A4" w:rsidRDefault="003B0A24" w:rsidP="008F0326">
            <w:pPr>
              <w:pStyle w:val="ARCopy"/>
              <w:spacing w:after="0"/>
              <w:jc w:val="center"/>
            </w:pPr>
            <w:r>
              <w:t>20</w:t>
            </w:r>
          </w:p>
        </w:tc>
      </w:tr>
      <w:tr w:rsidR="001C2C9D" w:rsidRPr="00CA62A4" w14:paraId="30F34B92" w14:textId="77777777" w:rsidTr="006A6831">
        <w:tc>
          <w:tcPr>
            <w:tcW w:w="4139" w:type="dxa"/>
            <w:vMerge/>
            <w:tcBorders>
              <w:top w:val="single" w:sz="18" w:space="0" w:color="auto"/>
              <w:left w:val="single" w:sz="2" w:space="0" w:color="auto"/>
            </w:tcBorders>
          </w:tcPr>
          <w:p w14:paraId="4841C44D" w14:textId="77777777" w:rsidR="001C2C9D" w:rsidRPr="004F3DE2" w:rsidRDefault="001C2C9D" w:rsidP="008F0326">
            <w:pPr>
              <w:pStyle w:val="ARCopy"/>
              <w:spacing w:after="0"/>
              <w:jc w:val="center"/>
            </w:pPr>
          </w:p>
        </w:tc>
        <w:tc>
          <w:tcPr>
            <w:tcW w:w="283" w:type="dxa"/>
            <w:tcBorders>
              <w:top w:val="nil"/>
              <w:bottom w:val="nil"/>
            </w:tcBorders>
          </w:tcPr>
          <w:p w14:paraId="13410BB3" w14:textId="77777777" w:rsidR="001C2C9D" w:rsidRPr="004F3DE2" w:rsidRDefault="001C2C9D" w:rsidP="008F0326">
            <w:pPr>
              <w:pStyle w:val="ARCopy"/>
              <w:spacing w:after="0"/>
            </w:pPr>
          </w:p>
        </w:tc>
        <w:tc>
          <w:tcPr>
            <w:tcW w:w="4479" w:type="dxa"/>
            <w:tcBorders>
              <w:top w:val="single" w:sz="2" w:space="0" w:color="auto"/>
              <w:bottom w:val="single" w:sz="2" w:space="0" w:color="auto"/>
            </w:tcBorders>
          </w:tcPr>
          <w:p w14:paraId="45AEA9F9" w14:textId="2D2F8654" w:rsidR="001C2C9D" w:rsidRPr="00CA62A4" w:rsidRDefault="001C2C9D" w:rsidP="008F0326">
            <w:pPr>
              <w:pStyle w:val="ARCopy"/>
              <w:spacing w:after="0"/>
            </w:pPr>
            <w:r w:rsidRPr="004F3DE2">
              <w:t>Our compliance activities</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58BB9FEE" w14:textId="3C3F08F1" w:rsidR="001C2C9D" w:rsidRPr="00CA62A4" w:rsidRDefault="003B0A24" w:rsidP="008F0326">
            <w:pPr>
              <w:pStyle w:val="ARCopy"/>
              <w:spacing w:after="0"/>
              <w:jc w:val="center"/>
            </w:pPr>
            <w:r>
              <w:t>23</w:t>
            </w:r>
          </w:p>
        </w:tc>
      </w:tr>
      <w:tr w:rsidR="001C2C9D" w:rsidRPr="00CA62A4" w14:paraId="7651E6CC" w14:textId="77777777" w:rsidTr="006A6831">
        <w:tc>
          <w:tcPr>
            <w:tcW w:w="4139" w:type="dxa"/>
            <w:vMerge/>
            <w:tcBorders>
              <w:top w:val="single" w:sz="18" w:space="0" w:color="auto"/>
              <w:left w:val="single" w:sz="2" w:space="0" w:color="auto"/>
            </w:tcBorders>
          </w:tcPr>
          <w:p w14:paraId="17DA0F2F" w14:textId="77777777" w:rsidR="001C2C9D" w:rsidRPr="008F0326" w:rsidRDefault="001C2C9D" w:rsidP="008F0326">
            <w:pPr>
              <w:pStyle w:val="ARCopy"/>
              <w:spacing w:after="0"/>
              <w:jc w:val="center"/>
              <w:rPr>
                <w:b/>
                <w:bCs/>
              </w:rPr>
            </w:pPr>
          </w:p>
        </w:tc>
        <w:tc>
          <w:tcPr>
            <w:tcW w:w="283" w:type="dxa"/>
            <w:tcBorders>
              <w:top w:val="nil"/>
              <w:bottom w:val="nil"/>
            </w:tcBorders>
          </w:tcPr>
          <w:p w14:paraId="31C6928D" w14:textId="77777777" w:rsidR="001C2C9D" w:rsidRPr="008F0326" w:rsidRDefault="001C2C9D" w:rsidP="008F0326">
            <w:pPr>
              <w:pStyle w:val="ARCopy"/>
              <w:spacing w:after="0"/>
              <w:rPr>
                <w:b/>
                <w:bCs/>
              </w:rPr>
            </w:pPr>
          </w:p>
        </w:tc>
        <w:tc>
          <w:tcPr>
            <w:tcW w:w="4479" w:type="dxa"/>
            <w:tcBorders>
              <w:top w:val="single" w:sz="2" w:space="0" w:color="auto"/>
              <w:bottom w:val="single" w:sz="2" w:space="0" w:color="auto"/>
            </w:tcBorders>
          </w:tcPr>
          <w:p w14:paraId="118CE04D" w14:textId="416A9AEF" w:rsidR="001C2C9D" w:rsidRPr="008F0326" w:rsidRDefault="001C2C9D" w:rsidP="008F0326">
            <w:pPr>
              <w:pStyle w:val="ARCopy"/>
              <w:spacing w:after="0"/>
              <w:rPr>
                <w:b/>
                <w:bCs/>
              </w:rPr>
            </w:pPr>
            <w:r w:rsidRPr="008F0326">
              <w:rPr>
                <w:b/>
                <w:bCs/>
              </w:rPr>
              <w:t>Our organisation</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6485A683" w14:textId="0E5C77DC" w:rsidR="001C2C9D" w:rsidRPr="00CA62A4" w:rsidRDefault="003B0A24" w:rsidP="008F0326">
            <w:pPr>
              <w:pStyle w:val="ARCopy"/>
              <w:spacing w:after="0"/>
              <w:jc w:val="center"/>
            </w:pPr>
            <w:r>
              <w:t>24</w:t>
            </w:r>
          </w:p>
        </w:tc>
      </w:tr>
      <w:tr w:rsidR="001C2C9D" w:rsidRPr="00CA62A4" w14:paraId="52FCB3A8" w14:textId="77777777" w:rsidTr="006A6831">
        <w:tc>
          <w:tcPr>
            <w:tcW w:w="4139" w:type="dxa"/>
            <w:vMerge/>
            <w:tcBorders>
              <w:top w:val="single" w:sz="18" w:space="0" w:color="auto"/>
              <w:left w:val="single" w:sz="2" w:space="0" w:color="auto"/>
            </w:tcBorders>
          </w:tcPr>
          <w:p w14:paraId="4A7CA0DB" w14:textId="77777777" w:rsidR="001C2C9D" w:rsidRPr="004F3DE2" w:rsidRDefault="001C2C9D" w:rsidP="008F0326">
            <w:pPr>
              <w:pStyle w:val="ARCopy"/>
              <w:spacing w:after="0"/>
              <w:jc w:val="center"/>
            </w:pPr>
          </w:p>
        </w:tc>
        <w:tc>
          <w:tcPr>
            <w:tcW w:w="283" w:type="dxa"/>
            <w:tcBorders>
              <w:top w:val="nil"/>
              <w:bottom w:val="nil"/>
            </w:tcBorders>
          </w:tcPr>
          <w:p w14:paraId="1A23391D" w14:textId="77777777" w:rsidR="001C2C9D" w:rsidRPr="004F3DE2" w:rsidRDefault="001C2C9D" w:rsidP="008F0326">
            <w:pPr>
              <w:pStyle w:val="ARCopy"/>
              <w:spacing w:after="0"/>
            </w:pPr>
          </w:p>
        </w:tc>
        <w:tc>
          <w:tcPr>
            <w:tcW w:w="4479" w:type="dxa"/>
            <w:tcBorders>
              <w:top w:val="single" w:sz="2" w:space="0" w:color="auto"/>
              <w:bottom w:val="single" w:sz="2" w:space="0" w:color="auto"/>
            </w:tcBorders>
          </w:tcPr>
          <w:p w14:paraId="4EB3F239" w14:textId="29F0E8E4" w:rsidR="001C2C9D" w:rsidRPr="00CA62A4" w:rsidRDefault="001C2C9D" w:rsidP="008F0326">
            <w:pPr>
              <w:pStyle w:val="ARCopy"/>
              <w:spacing w:after="0"/>
            </w:pPr>
            <w:r w:rsidRPr="004F3DE2">
              <w:t>Organisational structure</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68605729" w14:textId="13B51DCF" w:rsidR="001C2C9D" w:rsidRPr="00CA62A4" w:rsidRDefault="003B0A24" w:rsidP="008F0326">
            <w:pPr>
              <w:pStyle w:val="ARCopy"/>
              <w:spacing w:after="0"/>
              <w:jc w:val="center"/>
            </w:pPr>
            <w:r>
              <w:t>24</w:t>
            </w:r>
          </w:p>
        </w:tc>
      </w:tr>
      <w:tr w:rsidR="001C2C9D" w:rsidRPr="00CA62A4" w14:paraId="65882F13" w14:textId="77777777" w:rsidTr="006A6831">
        <w:tc>
          <w:tcPr>
            <w:tcW w:w="4139" w:type="dxa"/>
            <w:vMerge/>
            <w:tcBorders>
              <w:top w:val="single" w:sz="18" w:space="0" w:color="auto"/>
              <w:left w:val="single" w:sz="2" w:space="0" w:color="auto"/>
            </w:tcBorders>
          </w:tcPr>
          <w:p w14:paraId="213F8C05" w14:textId="77777777" w:rsidR="001C2C9D" w:rsidRPr="004F3DE2" w:rsidRDefault="001C2C9D" w:rsidP="008F0326">
            <w:pPr>
              <w:pStyle w:val="ARCopy"/>
              <w:spacing w:after="0"/>
              <w:jc w:val="center"/>
            </w:pPr>
          </w:p>
        </w:tc>
        <w:tc>
          <w:tcPr>
            <w:tcW w:w="283" w:type="dxa"/>
            <w:tcBorders>
              <w:top w:val="nil"/>
              <w:bottom w:val="nil"/>
            </w:tcBorders>
          </w:tcPr>
          <w:p w14:paraId="07F108AD" w14:textId="77777777" w:rsidR="001C2C9D" w:rsidRPr="004F3DE2" w:rsidRDefault="001C2C9D" w:rsidP="008F0326">
            <w:pPr>
              <w:pStyle w:val="ARCopy"/>
              <w:spacing w:after="0"/>
            </w:pPr>
          </w:p>
        </w:tc>
        <w:tc>
          <w:tcPr>
            <w:tcW w:w="4479" w:type="dxa"/>
            <w:tcBorders>
              <w:top w:val="single" w:sz="2" w:space="0" w:color="auto"/>
              <w:bottom w:val="single" w:sz="2" w:space="0" w:color="auto"/>
            </w:tcBorders>
          </w:tcPr>
          <w:p w14:paraId="4FFF9754" w14:textId="5452CF8C" w:rsidR="001C2C9D" w:rsidRPr="00CA62A4" w:rsidRDefault="001C2C9D" w:rsidP="008F0326">
            <w:pPr>
              <w:pStyle w:val="ARCopy"/>
              <w:spacing w:after="0"/>
            </w:pPr>
            <w:r w:rsidRPr="004F3DE2">
              <w:t>Board of Directors</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1B5D4E0E" w14:textId="4CD25A8A" w:rsidR="001C2C9D" w:rsidRPr="00CA62A4" w:rsidRDefault="003B0A24" w:rsidP="008F0326">
            <w:pPr>
              <w:pStyle w:val="ARCopy"/>
              <w:spacing w:after="0"/>
              <w:jc w:val="center"/>
            </w:pPr>
            <w:r>
              <w:t>25</w:t>
            </w:r>
          </w:p>
        </w:tc>
      </w:tr>
      <w:tr w:rsidR="001C2C9D" w:rsidRPr="00CA62A4" w14:paraId="72686046" w14:textId="77777777" w:rsidTr="006A6831">
        <w:tc>
          <w:tcPr>
            <w:tcW w:w="4139" w:type="dxa"/>
            <w:vMerge/>
            <w:tcBorders>
              <w:top w:val="single" w:sz="18" w:space="0" w:color="auto"/>
              <w:left w:val="single" w:sz="2" w:space="0" w:color="auto"/>
            </w:tcBorders>
          </w:tcPr>
          <w:p w14:paraId="6AC31A15" w14:textId="77777777" w:rsidR="001C2C9D" w:rsidRPr="004F3DE2" w:rsidRDefault="001C2C9D" w:rsidP="008F0326">
            <w:pPr>
              <w:pStyle w:val="ARCopy"/>
              <w:spacing w:after="0"/>
              <w:jc w:val="center"/>
            </w:pPr>
          </w:p>
        </w:tc>
        <w:tc>
          <w:tcPr>
            <w:tcW w:w="283" w:type="dxa"/>
            <w:tcBorders>
              <w:top w:val="nil"/>
              <w:bottom w:val="nil"/>
            </w:tcBorders>
          </w:tcPr>
          <w:p w14:paraId="5BE31FFE" w14:textId="77777777" w:rsidR="001C2C9D" w:rsidRPr="004F3DE2" w:rsidRDefault="001C2C9D" w:rsidP="008F0326">
            <w:pPr>
              <w:pStyle w:val="ARCopy"/>
              <w:spacing w:after="0"/>
            </w:pPr>
          </w:p>
        </w:tc>
        <w:tc>
          <w:tcPr>
            <w:tcW w:w="4479" w:type="dxa"/>
            <w:tcBorders>
              <w:top w:val="single" w:sz="2" w:space="0" w:color="auto"/>
              <w:bottom w:val="single" w:sz="2" w:space="0" w:color="auto"/>
            </w:tcBorders>
          </w:tcPr>
          <w:p w14:paraId="2D8D3E24" w14:textId="44E68E05" w:rsidR="001C2C9D" w:rsidRPr="00CA62A4" w:rsidRDefault="001C2C9D" w:rsidP="008F0326">
            <w:pPr>
              <w:pStyle w:val="ARCopy"/>
              <w:spacing w:after="0"/>
            </w:pPr>
            <w:r w:rsidRPr="004F3DE2">
              <w:t>Executive Leadership Team</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1E95C30C" w14:textId="37718FAF" w:rsidR="001C2C9D" w:rsidRPr="00CA62A4" w:rsidRDefault="003B0A24" w:rsidP="008F0326">
            <w:pPr>
              <w:pStyle w:val="ARCopy"/>
              <w:spacing w:after="0"/>
              <w:jc w:val="center"/>
            </w:pPr>
            <w:r>
              <w:t>28</w:t>
            </w:r>
          </w:p>
        </w:tc>
      </w:tr>
      <w:tr w:rsidR="001C2C9D" w:rsidRPr="00CA62A4" w14:paraId="657CA0A9" w14:textId="77777777" w:rsidTr="006A6831">
        <w:tc>
          <w:tcPr>
            <w:tcW w:w="4139" w:type="dxa"/>
            <w:vMerge/>
            <w:tcBorders>
              <w:top w:val="single" w:sz="18" w:space="0" w:color="auto"/>
              <w:left w:val="single" w:sz="2" w:space="0" w:color="auto"/>
            </w:tcBorders>
          </w:tcPr>
          <w:p w14:paraId="1859DE85" w14:textId="77777777" w:rsidR="001C2C9D" w:rsidRPr="004F3DE2" w:rsidRDefault="001C2C9D" w:rsidP="008F0326">
            <w:pPr>
              <w:pStyle w:val="ARCopy"/>
              <w:spacing w:after="0"/>
              <w:jc w:val="center"/>
            </w:pPr>
          </w:p>
        </w:tc>
        <w:tc>
          <w:tcPr>
            <w:tcW w:w="283" w:type="dxa"/>
            <w:tcBorders>
              <w:top w:val="nil"/>
              <w:bottom w:val="nil"/>
            </w:tcBorders>
          </w:tcPr>
          <w:p w14:paraId="043F8CA3" w14:textId="77777777" w:rsidR="001C2C9D" w:rsidRPr="004F3DE2" w:rsidRDefault="001C2C9D" w:rsidP="008F0326">
            <w:pPr>
              <w:pStyle w:val="ARCopy"/>
              <w:spacing w:after="0"/>
            </w:pPr>
          </w:p>
        </w:tc>
        <w:tc>
          <w:tcPr>
            <w:tcW w:w="4479" w:type="dxa"/>
            <w:tcBorders>
              <w:top w:val="single" w:sz="2" w:space="0" w:color="auto"/>
              <w:bottom w:val="single" w:sz="2" w:space="0" w:color="auto"/>
            </w:tcBorders>
          </w:tcPr>
          <w:p w14:paraId="40181D23" w14:textId="334F4CBC" w:rsidR="001C2C9D" w:rsidRPr="00CA62A4" w:rsidRDefault="001C2C9D" w:rsidP="008F0326">
            <w:pPr>
              <w:pStyle w:val="ARCopy"/>
              <w:spacing w:after="0"/>
            </w:pPr>
            <w:r w:rsidRPr="004F3DE2">
              <w:t>Corporate governance framework</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7822AE10" w14:textId="5627734E" w:rsidR="001C2C9D" w:rsidRPr="00CA62A4" w:rsidRDefault="003B0A24" w:rsidP="008F0326">
            <w:pPr>
              <w:pStyle w:val="ARCopy"/>
              <w:spacing w:after="0"/>
              <w:jc w:val="center"/>
            </w:pPr>
            <w:r>
              <w:t>30</w:t>
            </w:r>
          </w:p>
        </w:tc>
      </w:tr>
      <w:tr w:rsidR="001C2C9D" w:rsidRPr="00CA62A4" w14:paraId="46C418A9" w14:textId="77777777" w:rsidTr="006A6831">
        <w:tc>
          <w:tcPr>
            <w:tcW w:w="4139" w:type="dxa"/>
            <w:vMerge/>
            <w:tcBorders>
              <w:top w:val="single" w:sz="18" w:space="0" w:color="auto"/>
              <w:left w:val="single" w:sz="2" w:space="0" w:color="auto"/>
            </w:tcBorders>
          </w:tcPr>
          <w:p w14:paraId="6971F09F" w14:textId="77777777" w:rsidR="001C2C9D" w:rsidRPr="004F3DE2" w:rsidRDefault="001C2C9D" w:rsidP="008F0326">
            <w:pPr>
              <w:pStyle w:val="ARCopy"/>
              <w:spacing w:after="0"/>
              <w:jc w:val="center"/>
            </w:pPr>
          </w:p>
        </w:tc>
        <w:tc>
          <w:tcPr>
            <w:tcW w:w="283" w:type="dxa"/>
            <w:tcBorders>
              <w:top w:val="nil"/>
              <w:bottom w:val="nil"/>
            </w:tcBorders>
          </w:tcPr>
          <w:p w14:paraId="2CAAFABC" w14:textId="77777777" w:rsidR="001C2C9D" w:rsidRPr="004F3DE2" w:rsidRDefault="001C2C9D" w:rsidP="008F0326">
            <w:pPr>
              <w:pStyle w:val="ARCopy"/>
              <w:spacing w:after="0"/>
            </w:pPr>
          </w:p>
        </w:tc>
        <w:tc>
          <w:tcPr>
            <w:tcW w:w="4479" w:type="dxa"/>
            <w:tcBorders>
              <w:top w:val="single" w:sz="2" w:space="0" w:color="auto"/>
              <w:bottom w:val="single" w:sz="2" w:space="0" w:color="auto"/>
            </w:tcBorders>
          </w:tcPr>
          <w:p w14:paraId="4D00050A" w14:textId="1502EF82" w:rsidR="001C2C9D" w:rsidRPr="00CA62A4" w:rsidRDefault="001C2C9D" w:rsidP="008F0326">
            <w:pPr>
              <w:pStyle w:val="ARCopy"/>
              <w:spacing w:after="0"/>
            </w:pPr>
            <w:r w:rsidRPr="004F3DE2">
              <w:t>Digital innovation and information systems</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14CE3B42" w14:textId="2D0032FD" w:rsidR="001C2C9D" w:rsidRPr="00CA62A4" w:rsidRDefault="003B0A24" w:rsidP="008F0326">
            <w:pPr>
              <w:pStyle w:val="ARCopy"/>
              <w:spacing w:after="0"/>
              <w:jc w:val="center"/>
            </w:pPr>
            <w:r>
              <w:t>33</w:t>
            </w:r>
          </w:p>
        </w:tc>
      </w:tr>
      <w:tr w:rsidR="001C2C9D" w:rsidRPr="00CA62A4" w14:paraId="6DFE6294" w14:textId="77777777" w:rsidTr="006A6831">
        <w:tc>
          <w:tcPr>
            <w:tcW w:w="4139" w:type="dxa"/>
            <w:vMerge/>
            <w:tcBorders>
              <w:top w:val="single" w:sz="18" w:space="0" w:color="auto"/>
              <w:left w:val="single" w:sz="2" w:space="0" w:color="auto"/>
            </w:tcBorders>
          </w:tcPr>
          <w:p w14:paraId="6311DFDF" w14:textId="77777777" w:rsidR="001C2C9D" w:rsidRPr="008F0326" w:rsidRDefault="001C2C9D" w:rsidP="008F0326">
            <w:pPr>
              <w:pStyle w:val="ARCopy"/>
              <w:spacing w:after="0"/>
              <w:jc w:val="center"/>
              <w:rPr>
                <w:b/>
                <w:bCs/>
              </w:rPr>
            </w:pPr>
          </w:p>
        </w:tc>
        <w:tc>
          <w:tcPr>
            <w:tcW w:w="283" w:type="dxa"/>
            <w:tcBorders>
              <w:top w:val="nil"/>
              <w:bottom w:val="nil"/>
            </w:tcBorders>
          </w:tcPr>
          <w:p w14:paraId="62124F5E" w14:textId="77777777" w:rsidR="001C2C9D" w:rsidRPr="008F0326" w:rsidRDefault="001C2C9D" w:rsidP="008F0326">
            <w:pPr>
              <w:pStyle w:val="ARCopy"/>
              <w:spacing w:after="0"/>
              <w:rPr>
                <w:b/>
                <w:bCs/>
              </w:rPr>
            </w:pPr>
          </w:p>
        </w:tc>
        <w:tc>
          <w:tcPr>
            <w:tcW w:w="4479" w:type="dxa"/>
            <w:tcBorders>
              <w:top w:val="single" w:sz="2" w:space="0" w:color="auto"/>
              <w:bottom w:val="single" w:sz="2" w:space="0" w:color="auto"/>
            </w:tcBorders>
          </w:tcPr>
          <w:p w14:paraId="281C4FBE" w14:textId="3661D417" w:rsidR="001C2C9D" w:rsidRPr="008F0326" w:rsidRDefault="001C2C9D" w:rsidP="008F0326">
            <w:pPr>
              <w:pStyle w:val="ARCopy"/>
              <w:spacing w:after="0"/>
              <w:rPr>
                <w:b/>
                <w:bCs/>
              </w:rPr>
            </w:pPr>
            <w:r w:rsidRPr="008F0326">
              <w:rPr>
                <w:b/>
                <w:bCs/>
              </w:rPr>
              <w:t>Our people</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612BF261" w14:textId="4E0DCB61" w:rsidR="001C2C9D" w:rsidRPr="00CA62A4" w:rsidRDefault="003B0A24" w:rsidP="008F0326">
            <w:pPr>
              <w:pStyle w:val="ARCopy"/>
              <w:spacing w:after="0"/>
              <w:jc w:val="center"/>
            </w:pPr>
            <w:r>
              <w:t>35</w:t>
            </w:r>
          </w:p>
        </w:tc>
      </w:tr>
      <w:tr w:rsidR="001C2C9D" w:rsidRPr="00CA62A4" w14:paraId="4C1B5044" w14:textId="77777777" w:rsidTr="006A6831">
        <w:tc>
          <w:tcPr>
            <w:tcW w:w="4139" w:type="dxa"/>
            <w:vMerge/>
            <w:tcBorders>
              <w:top w:val="single" w:sz="18" w:space="0" w:color="auto"/>
              <w:left w:val="single" w:sz="2" w:space="0" w:color="auto"/>
            </w:tcBorders>
          </w:tcPr>
          <w:p w14:paraId="390396B9" w14:textId="77777777" w:rsidR="001C2C9D" w:rsidRPr="00823D58" w:rsidRDefault="001C2C9D" w:rsidP="008F0326">
            <w:pPr>
              <w:pStyle w:val="ARCopy"/>
              <w:spacing w:after="0"/>
              <w:jc w:val="center"/>
            </w:pPr>
          </w:p>
        </w:tc>
        <w:tc>
          <w:tcPr>
            <w:tcW w:w="283" w:type="dxa"/>
            <w:tcBorders>
              <w:top w:val="nil"/>
              <w:bottom w:val="nil"/>
            </w:tcBorders>
          </w:tcPr>
          <w:p w14:paraId="6DB1E155" w14:textId="77777777" w:rsidR="001C2C9D" w:rsidRPr="00823D58" w:rsidRDefault="001C2C9D" w:rsidP="008F0326">
            <w:pPr>
              <w:pStyle w:val="ARCopy"/>
              <w:spacing w:after="0"/>
            </w:pPr>
          </w:p>
        </w:tc>
        <w:tc>
          <w:tcPr>
            <w:tcW w:w="4479" w:type="dxa"/>
            <w:tcBorders>
              <w:top w:val="single" w:sz="2" w:space="0" w:color="auto"/>
              <w:bottom w:val="single" w:sz="2" w:space="0" w:color="auto"/>
            </w:tcBorders>
          </w:tcPr>
          <w:p w14:paraId="7FABBC8C" w14:textId="737BC141" w:rsidR="001C2C9D" w:rsidRPr="004F3DE2" w:rsidRDefault="001C2C9D" w:rsidP="008F0326">
            <w:pPr>
              <w:pStyle w:val="ARCopy"/>
              <w:spacing w:after="0"/>
            </w:pPr>
            <w:r w:rsidRPr="00823D58">
              <w:t>Performance highlights</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7A6D3F1E" w14:textId="7042F820" w:rsidR="001C2C9D" w:rsidRPr="00CA62A4" w:rsidRDefault="003B0A24" w:rsidP="008F0326">
            <w:pPr>
              <w:pStyle w:val="ARCopy"/>
              <w:spacing w:after="0"/>
              <w:jc w:val="center"/>
            </w:pPr>
            <w:r>
              <w:t>37</w:t>
            </w:r>
          </w:p>
        </w:tc>
      </w:tr>
      <w:tr w:rsidR="001C2C9D" w:rsidRPr="00CA62A4" w14:paraId="7D00D71B" w14:textId="77777777" w:rsidTr="006A6831">
        <w:tc>
          <w:tcPr>
            <w:tcW w:w="4139" w:type="dxa"/>
            <w:vMerge/>
            <w:tcBorders>
              <w:top w:val="single" w:sz="18" w:space="0" w:color="auto"/>
              <w:left w:val="single" w:sz="2" w:space="0" w:color="auto"/>
            </w:tcBorders>
          </w:tcPr>
          <w:p w14:paraId="5323FFE9" w14:textId="77777777" w:rsidR="001C2C9D" w:rsidRPr="00823D58" w:rsidRDefault="001C2C9D" w:rsidP="008F0326">
            <w:pPr>
              <w:pStyle w:val="ARCopy"/>
              <w:spacing w:after="0"/>
              <w:jc w:val="center"/>
            </w:pPr>
          </w:p>
        </w:tc>
        <w:tc>
          <w:tcPr>
            <w:tcW w:w="283" w:type="dxa"/>
            <w:tcBorders>
              <w:top w:val="nil"/>
              <w:bottom w:val="nil"/>
            </w:tcBorders>
          </w:tcPr>
          <w:p w14:paraId="15E86447" w14:textId="77777777" w:rsidR="001C2C9D" w:rsidRPr="00823D58" w:rsidRDefault="001C2C9D" w:rsidP="008F0326">
            <w:pPr>
              <w:pStyle w:val="ARCopy"/>
              <w:spacing w:after="0"/>
            </w:pPr>
          </w:p>
        </w:tc>
        <w:tc>
          <w:tcPr>
            <w:tcW w:w="4479" w:type="dxa"/>
            <w:tcBorders>
              <w:top w:val="single" w:sz="2" w:space="0" w:color="auto"/>
              <w:bottom w:val="single" w:sz="2" w:space="0" w:color="auto"/>
            </w:tcBorders>
          </w:tcPr>
          <w:p w14:paraId="36E84BE3" w14:textId="5C1E6A7F" w:rsidR="001C2C9D" w:rsidRPr="004F3DE2" w:rsidRDefault="001C2C9D" w:rsidP="008F0326">
            <w:pPr>
              <w:pStyle w:val="ARCopy"/>
              <w:spacing w:after="0"/>
            </w:pPr>
            <w:r w:rsidRPr="00823D58">
              <w:t>RTA Service Delivery Statement</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08B403C2" w14:textId="3221A850" w:rsidR="001C2C9D" w:rsidRPr="00CA62A4" w:rsidRDefault="003B0A24" w:rsidP="008F0326">
            <w:pPr>
              <w:pStyle w:val="ARCopy"/>
              <w:spacing w:after="0"/>
              <w:jc w:val="center"/>
            </w:pPr>
            <w:r>
              <w:t>40</w:t>
            </w:r>
          </w:p>
        </w:tc>
      </w:tr>
      <w:tr w:rsidR="001C2C9D" w:rsidRPr="00CA62A4" w14:paraId="497B4725" w14:textId="77777777" w:rsidTr="006A6831">
        <w:tc>
          <w:tcPr>
            <w:tcW w:w="4139" w:type="dxa"/>
            <w:vMerge/>
            <w:tcBorders>
              <w:top w:val="single" w:sz="18" w:space="0" w:color="auto"/>
              <w:left w:val="single" w:sz="2" w:space="0" w:color="auto"/>
            </w:tcBorders>
          </w:tcPr>
          <w:p w14:paraId="2CA7E246" w14:textId="77777777" w:rsidR="001C2C9D" w:rsidRPr="008F0326" w:rsidRDefault="001C2C9D" w:rsidP="008F0326">
            <w:pPr>
              <w:pStyle w:val="ARCopy"/>
              <w:spacing w:after="0"/>
              <w:jc w:val="center"/>
              <w:rPr>
                <w:b/>
                <w:bCs/>
              </w:rPr>
            </w:pPr>
          </w:p>
        </w:tc>
        <w:tc>
          <w:tcPr>
            <w:tcW w:w="283" w:type="dxa"/>
            <w:tcBorders>
              <w:top w:val="nil"/>
              <w:bottom w:val="nil"/>
            </w:tcBorders>
          </w:tcPr>
          <w:p w14:paraId="4DBA45BA" w14:textId="77777777" w:rsidR="001C2C9D" w:rsidRPr="008F0326" w:rsidRDefault="001C2C9D" w:rsidP="008F0326">
            <w:pPr>
              <w:pStyle w:val="ARCopy"/>
              <w:spacing w:after="0"/>
              <w:rPr>
                <w:b/>
                <w:bCs/>
              </w:rPr>
            </w:pPr>
          </w:p>
        </w:tc>
        <w:tc>
          <w:tcPr>
            <w:tcW w:w="4479" w:type="dxa"/>
            <w:tcBorders>
              <w:top w:val="single" w:sz="2" w:space="0" w:color="auto"/>
              <w:bottom w:val="single" w:sz="2" w:space="0" w:color="auto"/>
            </w:tcBorders>
          </w:tcPr>
          <w:p w14:paraId="68CD7FE7" w14:textId="0F5BBEFA" w:rsidR="001C2C9D" w:rsidRPr="008F0326" w:rsidRDefault="001C2C9D" w:rsidP="008F0326">
            <w:pPr>
              <w:pStyle w:val="ARCopy"/>
              <w:spacing w:after="0"/>
              <w:rPr>
                <w:b/>
                <w:bCs/>
              </w:rPr>
            </w:pPr>
            <w:r w:rsidRPr="008F0326">
              <w:rPr>
                <w:b/>
                <w:bCs/>
              </w:rPr>
              <w:t>Our finances</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2EB0A373" w14:textId="2F0C8580" w:rsidR="001C2C9D" w:rsidRPr="00CA62A4" w:rsidRDefault="003B0A24" w:rsidP="008F0326">
            <w:pPr>
              <w:pStyle w:val="ARCopy"/>
              <w:spacing w:after="0"/>
              <w:jc w:val="center"/>
            </w:pPr>
            <w:r>
              <w:t>41</w:t>
            </w:r>
          </w:p>
        </w:tc>
      </w:tr>
      <w:tr w:rsidR="001C2C9D" w:rsidRPr="00CA62A4" w14:paraId="311970BE" w14:textId="77777777" w:rsidTr="006A6831">
        <w:tc>
          <w:tcPr>
            <w:tcW w:w="4139" w:type="dxa"/>
            <w:vMerge/>
            <w:tcBorders>
              <w:top w:val="single" w:sz="18" w:space="0" w:color="auto"/>
              <w:left w:val="single" w:sz="2" w:space="0" w:color="auto"/>
            </w:tcBorders>
          </w:tcPr>
          <w:p w14:paraId="07A50712" w14:textId="77777777" w:rsidR="001C2C9D" w:rsidRPr="00F73D8A" w:rsidRDefault="001C2C9D" w:rsidP="008F0326">
            <w:pPr>
              <w:pStyle w:val="ARCopy"/>
              <w:spacing w:after="0"/>
              <w:jc w:val="center"/>
            </w:pPr>
          </w:p>
        </w:tc>
        <w:tc>
          <w:tcPr>
            <w:tcW w:w="283" w:type="dxa"/>
            <w:tcBorders>
              <w:top w:val="nil"/>
              <w:bottom w:val="nil"/>
            </w:tcBorders>
          </w:tcPr>
          <w:p w14:paraId="0A0AE147" w14:textId="77777777" w:rsidR="001C2C9D" w:rsidRPr="00F73D8A" w:rsidRDefault="001C2C9D" w:rsidP="008F0326">
            <w:pPr>
              <w:pStyle w:val="ARCopy"/>
              <w:spacing w:after="0"/>
            </w:pPr>
          </w:p>
        </w:tc>
        <w:tc>
          <w:tcPr>
            <w:tcW w:w="4479" w:type="dxa"/>
            <w:tcBorders>
              <w:top w:val="single" w:sz="2" w:space="0" w:color="auto"/>
              <w:bottom w:val="single" w:sz="2" w:space="0" w:color="auto"/>
            </w:tcBorders>
          </w:tcPr>
          <w:p w14:paraId="3DBA91C7" w14:textId="7E11C04A" w:rsidR="001C2C9D" w:rsidRPr="004F3DE2" w:rsidRDefault="001C2C9D" w:rsidP="008F0326">
            <w:pPr>
              <w:pStyle w:val="ARCopy"/>
              <w:spacing w:after="0"/>
            </w:pPr>
            <w:r w:rsidRPr="00F73D8A">
              <w:t>Financial overview</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39774EDE" w14:textId="1C5A852D" w:rsidR="001C2C9D" w:rsidRPr="00CA62A4" w:rsidRDefault="003B0A24" w:rsidP="008F0326">
            <w:pPr>
              <w:pStyle w:val="ARCopy"/>
              <w:spacing w:after="0"/>
              <w:jc w:val="center"/>
            </w:pPr>
            <w:r>
              <w:t>41</w:t>
            </w:r>
          </w:p>
        </w:tc>
      </w:tr>
      <w:tr w:rsidR="001C2C9D" w:rsidRPr="00CA62A4" w14:paraId="47B3354E" w14:textId="77777777" w:rsidTr="006A6831">
        <w:tc>
          <w:tcPr>
            <w:tcW w:w="4139" w:type="dxa"/>
            <w:vMerge/>
            <w:tcBorders>
              <w:top w:val="single" w:sz="18" w:space="0" w:color="auto"/>
              <w:left w:val="single" w:sz="2" w:space="0" w:color="auto"/>
            </w:tcBorders>
          </w:tcPr>
          <w:p w14:paraId="4ABA5EC7" w14:textId="77777777" w:rsidR="001C2C9D" w:rsidRPr="00F73D8A" w:rsidRDefault="001C2C9D" w:rsidP="008F0326">
            <w:pPr>
              <w:pStyle w:val="ARCopy"/>
              <w:spacing w:after="0"/>
              <w:jc w:val="center"/>
            </w:pPr>
          </w:p>
        </w:tc>
        <w:tc>
          <w:tcPr>
            <w:tcW w:w="283" w:type="dxa"/>
            <w:tcBorders>
              <w:top w:val="nil"/>
              <w:bottom w:val="nil"/>
            </w:tcBorders>
          </w:tcPr>
          <w:p w14:paraId="35F7CC26" w14:textId="77777777" w:rsidR="001C2C9D" w:rsidRPr="00F73D8A" w:rsidRDefault="001C2C9D" w:rsidP="008F0326">
            <w:pPr>
              <w:pStyle w:val="ARCopy"/>
              <w:spacing w:after="0"/>
            </w:pPr>
          </w:p>
        </w:tc>
        <w:tc>
          <w:tcPr>
            <w:tcW w:w="4479" w:type="dxa"/>
            <w:tcBorders>
              <w:top w:val="single" w:sz="2" w:space="0" w:color="auto"/>
              <w:bottom w:val="single" w:sz="2" w:space="0" w:color="auto"/>
            </w:tcBorders>
          </w:tcPr>
          <w:p w14:paraId="2EA007B1" w14:textId="71B8194F" w:rsidR="001C2C9D" w:rsidRPr="004F3DE2" w:rsidRDefault="00862B48" w:rsidP="008F0326">
            <w:pPr>
              <w:pStyle w:val="ARCopy"/>
              <w:spacing w:after="0"/>
            </w:pPr>
            <w:r>
              <w:t xml:space="preserve">General Purpose </w:t>
            </w:r>
            <w:r w:rsidR="001C2C9D" w:rsidRPr="00F73D8A">
              <w:t xml:space="preserve">Financial </w:t>
            </w:r>
            <w:r>
              <w:t>R</w:t>
            </w:r>
            <w:r w:rsidR="001C2C9D" w:rsidRPr="00F73D8A">
              <w:t>eport</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4C53D8DB" w14:textId="25D5CF5F" w:rsidR="001C2C9D" w:rsidRPr="00CA62A4" w:rsidRDefault="003B0A24" w:rsidP="008F0326">
            <w:pPr>
              <w:pStyle w:val="ARCopy"/>
              <w:spacing w:after="0"/>
              <w:jc w:val="center"/>
            </w:pPr>
            <w:r>
              <w:t>45</w:t>
            </w:r>
          </w:p>
        </w:tc>
      </w:tr>
      <w:tr w:rsidR="001C2C9D" w:rsidRPr="00CA62A4" w14:paraId="7FBEB541" w14:textId="77777777" w:rsidTr="006A6831">
        <w:tc>
          <w:tcPr>
            <w:tcW w:w="4139" w:type="dxa"/>
            <w:vMerge/>
            <w:tcBorders>
              <w:top w:val="single" w:sz="18" w:space="0" w:color="auto"/>
              <w:left w:val="single" w:sz="2" w:space="0" w:color="auto"/>
            </w:tcBorders>
          </w:tcPr>
          <w:p w14:paraId="3472786C" w14:textId="77777777" w:rsidR="001C2C9D" w:rsidRPr="00F73D8A" w:rsidRDefault="001C2C9D" w:rsidP="008F0326">
            <w:pPr>
              <w:pStyle w:val="ARCopy"/>
              <w:spacing w:after="0"/>
              <w:jc w:val="center"/>
            </w:pPr>
          </w:p>
        </w:tc>
        <w:tc>
          <w:tcPr>
            <w:tcW w:w="283" w:type="dxa"/>
            <w:tcBorders>
              <w:top w:val="nil"/>
              <w:bottom w:val="nil"/>
            </w:tcBorders>
          </w:tcPr>
          <w:p w14:paraId="36367C0C" w14:textId="77777777" w:rsidR="001C2C9D" w:rsidRPr="00F73D8A" w:rsidRDefault="001C2C9D" w:rsidP="008F0326">
            <w:pPr>
              <w:pStyle w:val="ARCopy"/>
              <w:spacing w:after="0"/>
            </w:pPr>
          </w:p>
        </w:tc>
        <w:tc>
          <w:tcPr>
            <w:tcW w:w="4479" w:type="dxa"/>
            <w:tcBorders>
              <w:top w:val="single" w:sz="2" w:space="0" w:color="auto"/>
              <w:bottom w:val="single" w:sz="2" w:space="0" w:color="auto"/>
            </w:tcBorders>
          </w:tcPr>
          <w:p w14:paraId="12F80314" w14:textId="20048143" w:rsidR="001C2C9D" w:rsidRPr="004F3DE2" w:rsidRDefault="00862B48" w:rsidP="008F0326">
            <w:pPr>
              <w:pStyle w:val="ARCopy"/>
              <w:spacing w:after="0"/>
            </w:pPr>
            <w:r>
              <w:t>M</w:t>
            </w:r>
            <w:r w:rsidRPr="00F73D8A">
              <w:t xml:space="preserve">anagement </w:t>
            </w:r>
            <w:r w:rsidR="0047621F">
              <w:t>C</w:t>
            </w:r>
            <w:r w:rsidRPr="00F73D8A">
              <w:t>ertificate</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4F9AC685" w14:textId="13B34672" w:rsidR="001C2C9D" w:rsidRPr="00CA62A4" w:rsidRDefault="00862B48" w:rsidP="008F0326">
            <w:pPr>
              <w:pStyle w:val="ARCopy"/>
              <w:spacing w:after="0"/>
              <w:jc w:val="center"/>
            </w:pPr>
            <w:r>
              <w:t>83</w:t>
            </w:r>
          </w:p>
        </w:tc>
      </w:tr>
      <w:tr w:rsidR="001C2C9D" w:rsidRPr="00CA62A4" w14:paraId="702F9F49" w14:textId="77777777" w:rsidTr="006A6831">
        <w:tc>
          <w:tcPr>
            <w:tcW w:w="4139" w:type="dxa"/>
            <w:vMerge/>
            <w:tcBorders>
              <w:top w:val="single" w:sz="18" w:space="0" w:color="auto"/>
              <w:left w:val="single" w:sz="2" w:space="0" w:color="auto"/>
            </w:tcBorders>
          </w:tcPr>
          <w:p w14:paraId="7A593F5E" w14:textId="77777777" w:rsidR="001C2C9D" w:rsidRPr="008F0326" w:rsidRDefault="001C2C9D" w:rsidP="008F0326">
            <w:pPr>
              <w:pStyle w:val="ARCopy"/>
              <w:spacing w:after="0"/>
              <w:jc w:val="center"/>
              <w:rPr>
                <w:b/>
                <w:bCs/>
              </w:rPr>
            </w:pPr>
          </w:p>
        </w:tc>
        <w:tc>
          <w:tcPr>
            <w:tcW w:w="283" w:type="dxa"/>
            <w:tcBorders>
              <w:top w:val="nil"/>
              <w:bottom w:val="nil"/>
            </w:tcBorders>
          </w:tcPr>
          <w:p w14:paraId="677E414E" w14:textId="77777777" w:rsidR="001C2C9D" w:rsidRPr="008F0326" w:rsidRDefault="001C2C9D" w:rsidP="008F0326">
            <w:pPr>
              <w:pStyle w:val="ARCopy"/>
              <w:spacing w:after="0"/>
              <w:rPr>
                <w:b/>
                <w:bCs/>
              </w:rPr>
            </w:pPr>
          </w:p>
        </w:tc>
        <w:tc>
          <w:tcPr>
            <w:tcW w:w="4479" w:type="dxa"/>
            <w:tcBorders>
              <w:top w:val="single" w:sz="2" w:space="0" w:color="auto"/>
              <w:bottom w:val="single" w:sz="2" w:space="0" w:color="auto"/>
            </w:tcBorders>
          </w:tcPr>
          <w:p w14:paraId="6B83A606" w14:textId="1825AA31" w:rsidR="001C2C9D" w:rsidRPr="008F0326" w:rsidRDefault="00862B48" w:rsidP="008F0326">
            <w:pPr>
              <w:pStyle w:val="ARCopy"/>
              <w:spacing w:after="0"/>
              <w:rPr>
                <w:b/>
                <w:bCs/>
              </w:rPr>
            </w:pPr>
            <w:r w:rsidRPr="00F73D8A">
              <w:t>Auditor’s report</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348512D1" w14:textId="27328F89" w:rsidR="001C2C9D" w:rsidRPr="00CA62A4" w:rsidRDefault="00862B48" w:rsidP="008F0326">
            <w:pPr>
              <w:pStyle w:val="ARCopy"/>
              <w:spacing w:after="0"/>
              <w:jc w:val="center"/>
            </w:pPr>
            <w:r>
              <w:t>84</w:t>
            </w:r>
          </w:p>
        </w:tc>
      </w:tr>
      <w:tr w:rsidR="00862B48" w:rsidRPr="00CA62A4" w14:paraId="3CB89EC0" w14:textId="77777777" w:rsidTr="006A6831">
        <w:tc>
          <w:tcPr>
            <w:tcW w:w="4139" w:type="dxa"/>
            <w:vMerge/>
            <w:tcBorders>
              <w:top w:val="single" w:sz="18" w:space="0" w:color="auto"/>
              <w:left w:val="single" w:sz="2" w:space="0" w:color="auto"/>
            </w:tcBorders>
          </w:tcPr>
          <w:p w14:paraId="7C6A284E" w14:textId="77777777" w:rsidR="00862B48" w:rsidRPr="008F0326" w:rsidRDefault="00862B48" w:rsidP="008F0326">
            <w:pPr>
              <w:pStyle w:val="ARCopy"/>
              <w:spacing w:after="0"/>
              <w:jc w:val="center"/>
              <w:rPr>
                <w:b/>
                <w:bCs/>
              </w:rPr>
            </w:pPr>
          </w:p>
        </w:tc>
        <w:tc>
          <w:tcPr>
            <w:tcW w:w="283" w:type="dxa"/>
            <w:tcBorders>
              <w:top w:val="nil"/>
              <w:bottom w:val="nil"/>
            </w:tcBorders>
          </w:tcPr>
          <w:p w14:paraId="0F993219" w14:textId="77777777" w:rsidR="00862B48" w:rsidRPr="008F0326" w:rsidRDefault="00862B48" w:rsidP="008F0326">
            <w:pPr>
              <w:pStyle w:val="ARCopy"/>
              <w:spacing w:after="0"/>
              <w:rPr>
                <w:b/>
                <w:bCs/>
              </w:rPr>
            </w:pPr>
          </w:p>
        </w:tc>
        <w:tc>
          <w:tcPr>
            <w:tcW w:w="4479" w:type="dxa"/>
            <w:tcBorders>
              <w:top w:val="single" w:sz="2" w:space="0" w:color="auto"/>
              <w:bottom w:val="single" w:sz="2" w:space="0" w:color="auto"/>
            </w:tcBorders>
          </w:tcPr>
          <w:p w14:paraId="0323A301" w14:textId="167699A4" w:rsidR="00862B48" w:rsidRPr="008F0326" w:rsidRDefault="00862B48" w:rsidP="008F0326">
            <w:pPr>
              <w:pStyle w:val="ARCopy"/>
              <w:spacing w:after="0"/>
              <w:rPr>
                <w:b/>
                <w:bCs/>
              </w:rPr>
            </w:pPr>
            <w:r w:rsidRPr="008F0326">
              <w:rPr>
                <w:b/>
                <w:bCs/>
              </w:rPr>
              <w:t>Compliance checklist</w:t>
            </w:r>
          </w:p>
        </w:tc>
        <w:tc>
          <w:tcPr>
            <w:tcW w:w="737" w:type="dxa"/>
            <w:tcBorders>
              <w:top w:val="single" w:sz="2" w:space="0" w:color="auto"/>
              <w:bottom w:val="single" w:sz="2" w:space="0" w:color="auto"/>
              <w:right w:val="single" w:sz="2" w:space="0" w:color="auto"/>
            </w:tcBorders>
            <w:shd w:val="clear" w:color="auto" w:fill="F2F2F2" w:themeFill="background1" w:themeFillShade="F2"/>
            <w:vAlign w:val="center"/>
          </w:tcPr>
          <w:p w14:paraId="09312081" w14:textId="0F468F62" w:rsidR="00862B48" w:rsidRPr="003B0A24" w:rsidRDefault="006675A3" w:rsidP="008F0326">
            <w:pPr>
              <w:pStyle w:val="ARCopy"/>
              <w:spacing w:after="0"/>
              <w:jc w:val="center"/>
              <w:rPr>
                <w:highlight w:val="yellow"/>
              </w:rPr>
            </w:pPr>
            <w:r w:rsidRPr="006675A3">
              <w:t>87</w:t>
            </w:r>
          </w:p>
        </w:tc>
      </w:tr>
      <w:tr w:rsidR="001C2C9D" w:rsidRPr="00CA62A4" w14:paraId="484F826E" w14:textId="77777777" w:rsidTr="006A6831">
        <w:tc>
          <w:tcPr>
            <w:tcW w:w="4139" w:type="dxa"/>
            <w:vMerge/>
            <w:tcBorders>
              <w:top w:val="single" w:sz="18" w:space="0" w:color="auto"/>
              <w:left w:val="single" w:sz="2" w:space="0" w:color="auto"/>
              <w:bottom w:val="single" w:sz="4" w:space="0" w:color="auto"/>
            </w:tcBorders>
          </w:tcPr>
          <w:p w14:paraId="6C6093BC" w14:textId="77777777" w:rsidR="001C2C9D" w:rsidRPr="008F0326" w:rsidRDefault="001C2C9D" w:rsidP="008F0326">
            <w:pPr>
              <w:pStyle w:val="ARCopy"/>
              <w:spacing w:after="0"/>
              <w:jc w:val="center"/>
              <w:rPr>
                <w:b/>
                <w:bCs/>
              </w:rPr>
            </w:pPr>
          </w:p>
        </w:tc>
        <w:tc>
          <w:tcPr>
            <w:tcW w:w="283" w:type="dxa"/>
            <w:tcBorders>
              <w:top w:val="nil"/>
              <w:bottom w:val="nil"/>
            </w:tcBorders>
          </w:tcPr>
          <w:p w14:paraId="11665AB1" w14:textId="77777777" w:rsidR="001C2C9D" w:rsidRPr="008F0326" w:rsidRDefault="001C2C9D" w:rsidP="008F0326">
            <w:pPr>
              <w:pStyle w:val="ARCopy"/>
              <w:spacing w:after="0"/>
              <w:rPr>
                <w:b/>
                <w:bCs/>
              </w:rPr>
            </w:pPr>
          </w:p>
        </w:tc>
        <w:tc>
          <w:tcPr>
            <w:tcW w:w="4479" w:type="dxa"/>
            <w:tcBorders>
              <w:top w:val="single" w:sz="2" w:space="0" w:color="auto"/>
              <w:bottom w:val="single" w:sz="18" w:space="0" w:color="auto"/>
            </w:tcBorders>
          </w:tcPr>
          <w:p w14:paraId="43852639" w14:textId="421BDCD3" w:rsidR="001C2C9D" w:rsidRPr="008F0326" w:rsidRDefault="00D96EB8" w:rsidP="008F0326">
            <w:pPr>
              <w:pStyle w:val="ARCopy"/>
              <w:spacing w:after="0"/>
              <w:rPr>
                <w:b/>
                <w:bCs/>
              </w:rPr>
            </w:pPr>
            <w:r w:rsidRPr="008F0326">
              <w:rPr>
                <w:b/>
                <w:bCs/>
              </w:rPr>
              <w:t>Glossary</w:t>
            </w:r>
          </w:p>
        </w:tc>
        <w:tc>
          <w:tcPr>
            <w:tcW w:w="737" w:type="dxa"/>
            <w:tcBorders>
              <w:top w:val="single" w:sz="2" w:space="0" w:color="auto"/>
              <w:bottom w:val="single" w:sz="18" w:space="0" w:color="auto"/>
              <w:right w:val="single" w:sz="2" w:space="0" w:color="auto"/>
            </w:tcBorders>
            <w:shd w:val="clear" w:color="auto" w:fill="F2F2F2" w:themeFill="background1" w:themeFillShade="F2"/>
            <w:vAlign w:val="center"/>
          </w:tcPr>
          <w:p w14:paraId="66182BA7" w14:textId="32945C79" w:rsidR="001C2C9D" w:rsidRPr="00CA62A4" w:rsidRDefault="006675A3" w:rsidP="008F0326">
            <w:pPr>
              <w:pStyle w:val="ARCopy"/>
              <w:spacing w:after="0"/>
              <w:jc w:val="center"/>
            </w:pPr>
            <w:r>
              <w:t>89</w:t>
            </w:r>
          </w:p>
        </w:tc>
      </w:tr>
    </w:tbl>
    <w:p w14:paraId="2D4B8ADB" w14:textId="77777777" w:rsidR="008F0326" w:rsidRDefault="008F0326" w:rsidP="008F0326">
      <w:r>
        <w:br w:type="page"/>
      </w:r>
    </w:p>
    <w:p w14:paraId="450232DB" w14:textId="56F8BA54" w:rsidR="00CA5A58" w:rsidRDefault="00CA5A58" w:rsidP="00B47CE6">
      <w:pPr>
        <w:pStyle w:val="ARH2"/>
        <w:spacing w:after="360"/>
      </w:pPr>
      <w:r>
        <w:lastRenderedPageBreak/>
        <w:t>Chair’s message</w:t>
      </w:r>
    </w:p>
    <w:p w14:paraId="4746210C" w14:textId="77777777" w:rsidR="000163F9" w:rsidRPr="008059C3" w:rsidRDefault="000163F9" w:rsidP="000163F9">
      <w:pPr>
        <w:pStyle w:val="ARCopy"/>
      </w:pPr>
      <w:r w:rsidRPr="00281C10">
        <w:t xml:space="preserve">It gives me great pleasure to present the </w:t>
      </w:r>
      <w:r w:rsidRPr="008059C3">
        <w:t xml:space="preserve">Residential Tenancies Authority (RTA) Annual Report for 2019-20 outlining the RTA’s efforts and achievements to further its vision of renting that works for all Queenslanders. </w:t>
      </w:r>
    </w:p>
    <w:p w14:paraId="686E98DB" w14:textId="77777777" w:rsidR="000163F9" w:rsidRPr="008059C3" w:rsidRDefault="000163F9" w:rsidP="000163F9">
      <w:pPr>
        <w:pStyle w:val="ARCopy"/>
      </w:pPr>
      <w:r w:rsidRPr="008059C3">
        <w:t>The highlights of the 2019-20 financial year for the RTA were:</w:t>
      </w:r>
    </w:p>
    <w:p w14:paraId="75EAFF0B" w14:textId="77777777" w:rsidR="000163F9" w:rsidRPr="008059C3" w:rsidRDefault="000163F9" w:rsidP="000163F9">
      <w:pPr>
        <w:pStyle w:val="ARBullet"/>
      </w:pPr>
      <w:r w:rsidRPr="008059C3">
        <w:t>approving a four-year Strategic Plan which ensured the customer remains at the centre of our work;</w:t>
      </w:r>
    </w:p>
    <w:p w14:paraId="53474201" w14:textId="77777777" w:rsidR="000163F9" w:rsidRPr="00586FD6" w:rsidRDefault="000163F9" w:rsidP="000163F9">
      <w:pPr>
        <w:pStyle w:val="ARBullet"/>
      </w:pPr>
      <w:r w:rsidRPr="00586FD6">
        <w:t xml:space="preserve">continuing work to implement the changes arising from the COVID-19 Regulations; </w:t>
      </w:r>
    </w:p>
    <w:p w14:paraId="6FBC07B0" w14:textId="77777777" w:rsidR="000163F9" w:rsidRPr="00281C10" w:rsidRDefault="000163F9" w:rsidP="000163F9">
      <w:pPr>
        <w:pStyle w:val="ARBullet"/>
      </w:pPr>
      <w:r w:rsidRPr="00281C10">
        <w:t>expanding stakeholder forums with organisations that touch our industry (including visits to Townsville and Roma), and most importantly,</w:t>
      </w:r>
    </w:p>
    <w:p w14:paraId="1B7FD749" w14:textId="77777777" w:rsidR="000163F9" w:rsidRPr="00281C10" w:rsidRDefault="000163F9" w:rsidP="000163F9">
      <w:pPr>
        <w:pStyle w:val="ARBullet"/>
      </w:pPr>
      <w:r w:rsidRPr="00281C10">
        <w:t xml:space="preserve">assisting Queenslanders whose tenancies were impacted by COVID-19. </w:t>
      </w:r>
    </w:p>
    <w:p w14:paraId="1272D82D" w14:textId="77777777" w:rsidR="000163F9" w:rsidRPr="00281C10" w:rsidRDefault="000163F9" w:rsidP="000163F9">
      <w:pPr>
        <w:pStyle w:val="ARCopy"/>
      </w:pPr>
      <w:r w:rsidRPr="00281C10">
        <w:t xml:space="preserve">The new Strategic Plan outlines the RTA’s direction and objectives for the next four years. It retains a strong focus on customer service and continues our ongoing endeavours to provide digital solutions </w:t>
      </w:r>
      <w:r>
        <w:t>as an option</w:t>
      </w:r>
      <w:r w:rsidRPr="00281C10">
        <w:t xml:space="preserve"> so customers can more easily access RTA services. </w:t>
      </w:r>
    </w:p>
    <w:p w14:paraId="5ADBE2DB" w14:textId="77777777" w:rsidR="000163F9" w:rsidRPr="00E75FD7" w:rsidRDefault="000163F9" w:rsidP="000163F9">
      <w:pPr>
        <w:pStyle w:val="ARCopy"/>
      </w:pPr>
      <w:r w:rsidRPr="00281C10">
        <w:t>A strong focus in 2019-20 was to extend our regional connections. The RTA Board met in Townsville in October 2019 and met with the local rental sector</w:t>
      </w:r>
      <w:r>
        <w:t xml:space="preserve">, </w:t>
      </w:r>
      <w:r w:rsidRPr="00281C10">
        <w:t xml:space="preserve">most of whom had been impacted by the floods in February 2019. </w:t>
      </w:r>
      <w:r>
        <w:t>T</w:t>
      </w:r>
      <w:r w:rsidRPr="00281C10">
        <w:t>o support th</w:t>
      </w:r>
      <w:r>
        <w:t>e launch of the RTA Regional Roadshow</w:t>
      </w:r>
      <w:r w:rsidRPr="00281C10">
        <w:t xml:space="preserve">, the Board met in Roma </w:t>
      </w:r>
      <w:r>
        <w:t>in February 2020</w:t>
      </w:r>
      <w:r w:rsidRPr="00281C10">
        <w:t xml:space="preserve"> and engage</w:t>
      </w:r>
      <w:r>
        <w:t>d</w:t>
      </w:r>
      <w:r w:rsidRPr="00281C10">
        <w:t xml:space="preserve"> with the rental community </w:t>
      </w:r>
      <w:r>
        <w:t xml:space="preserve">there </w:t>
      </w:r>
      <w:r w:rsidRPr="00281C10">
        <w:t>th</w:t>
      </w:r>
      <w:r>
        <w:t>at</w:t>
      </w:r>
      <w:r w:rsidRPr="00281C10">
        <w:t xml:space="preserve"> was suffering from the impacts of drought</w:t>
      </w:r>
      <w:r>
        <w:t xml:space="preserve"> at the time. </w:t>
      </w:r>
      <w:r w:rsidRPr="00E75FD7">
        <w:t>The</w:t>
      </w:r>
      <w:r>
        <w:t>se</w:t>
      </w:r>
      <w:r w:rsidRPr="00E75FD7">
        <w:t xml:space="preserve"> regional visits enabled the RTA to more deeply understand the needs of regional Queensland</w:t>
      </w:r>
      <w:r>
        <w:t xml:space="preserve"> and </w:t>
      </w:r>
      <w:r w:rsidRPr="00E75FD7">
        <w:t>facilitated direct engagement with over 800 stakeholders.</w:t>
      </w:r>
    </w:p>
    <w:p w14:paraId="409AC15A" w14:textId="77777777" w:rsidR="000163F9" w:rsidRPr="00281C10" w:rsidRDefault="000163F9" w:rsidP="000163F9">
      <w:pPr>
        <w:pStyle w:val="ARCopy"/>
        <w:spacing w:after="100"/>
      </w:pPr>
      <w:r w:rsidRPr="00281C10">
        <w:t xml:space="preserve">The COVID-19 pandemic has affected the lives of all Queenslanders in 2020. The RTA played a crucial role in assisting those landlords and tenants directly affected. The team at the RTA were able to respond rapidly to the changing times and the RTA team performed in an extraordinary manner </w:t>
      </w:r>
      <w:r>
        <w:t xml:space="preserve">which </w:t>
      </w:r>
      <w:r w:rsidRPr="00281C10">
        <w:t>includ</w:t>
      </w:r>
      <w:r>
        <w:t>ed</w:t>
      </w:r>
      <w:r w:rsidRPr="00281C10">
        <w:t>:</w:t>
      </w:r>
    </w:p>
    <w:p w14:paraId="0BF872B7" w14:textId="77777777" w:rsidR="000163F9" w:rsidRPr="00281C10" w:rsidRDefault="000163F9" w:rsidP="000163F9">
      <w:pPr>
        <w:pStyle w:val="ARBullet"/>
      </w:pPr>
      <w:r w:rsidRPr="00281C10">
        <w:t>developing the COVID-19 Dispute Resolution Web Service within two weeks</w:t>
      </w:r>
    </w:p>
    <w:p w14:paraId="555581DD" w14:textId="77777777" w:rsidR="000163F9" w:rsidRPr="00281C10" w:rsidRDefault="000163F9" w:rsidP="000163F9">
      <w:pPr>
        <w:pStyle w:val="ARBullet"/>
      </w:pPr>
      <w:r w:rsidRPr="00281C10">
        <w:t xml:space="preserve">producing a wide range of digital and paper resources to explain </w:t>
      </w:r>
      <w:r>
        <w:t xml:space="preserve">the </w:t>
      </w:r>
      <w:r w:rsidRPr="00281C10">
        <w:t>temporary COVID-19 amendments to tenancy laws and how to work together</w:t>
      </w:r>
    </w:p>
    <w:p w14:paraId="4C63DBA4" w14:textId="77777777" w:rsidR="000163F9" w:rsidRPr="008059C3" w:rsidRDefault="000163F9" w:rsidP="000163F9">
      <w:pPr>
        <w:pStyle w:val="ARBullet"/>
        <w:spacing w:after="100"/>
      </w:pPr>
      <w:r w:rsidRPr="008059C3">
        <w:t>transitioned to a remote workforce while conducted continuous training for relevant staff, representing over 550 hours of staff investment.</w:t>
      </w:r>
    </w:p>
    <w:p w14:paraId="2DEE130C" w14:textId="77777777" w:rsidR="000163F9" w:rsidRPr="00281C10" w:rsidRDefault="000163F9" w:rsidP="000163F9">
      <w:pPr>
        <w:pStyle w:val="ARCopy"/>
      </w:pPr>
      <w:r w:rsidRPr="008059C3">
        <w:t>Like most other government agencies, our investment portfolio was impacted by the pandemic. With the guidance of Queensland Investment Corporation (QIC), we expect to see these impacts being reversed in due course. We are already seeing some evidence of this.</w:t>
      </w:r>
    </w:p>
    <w:p w14:paraId="215D7F7D" w14:textId="77777777" w:rsidR="000163F9" w:rsidRPr="00281C10" w:rsidRDefault="000163F9" w:rsidP="000163F9">
      <w:pPr>
        <w:pStyle w:val="ARCopy"/>
      </w:pPr>
      <w:r w:rsidRPr="00281C10">
        <w:t>I’d like to thank the Hono</w:t>
      </w:r>
      <w:r>
        <w:t>u</w:t>
      </w:r>
      <w:r w:rsidRPr="00281C10">
        <w:t xml:space="preserve">rable Mick de Brenni MP, Minister for Housing and Public Works, Minister for Digital Technology, Minister for Sport, his office and all of the staff from the Department of Housing and Public Works who interact with the </w:t>
      </w:r>
      <w:r w:rsidRPr="008059C3">
        <w:t>RTA to achieve positive outcomes for the Queensland community. Their</w:t>
      </w:r>
      <w:r w:rsidRPr="00281C10">
        <w:t xml:space="preserve"> support has been significant and is greatly appreciated. </w:t>
      </w:r>
    </w:p>
    <w:p w14:paraId="1AF0A6DE" w14:textId="77777777" w:rsidR="000163F9" w:rsidRDefault="000163F9" w:rsidP="000163F9">
      <w:pPr>
        <w:pStyle w:val="ARCopy"/>
        <w:spacing w:after="180"/>
      </w:pPr>
      <w:r w:rsidRPr="00281C10">
        <w:t>Finally, I’d like to thank the wonderful staff at the RTA who have gone above and beyond, particularly since the impact of the pandemic. There has been a need for extended hours, transitioning to work from home arrangements, new technology and supporting customers who were significantly impacted by the pandemic. The staff responded wonderfully and have been ably led by our CEO Jennifer Smith and the Executive Leadership Team.</w:t>
      </w:r>
    </w:p>
    <w:p w14:paraId="1D3E5EEE" w14:textId="77777777" w:rsidR="000163F9" w:rsidRDefault="000163F9" w:rsidP="000163F9">
      <w:pPr>
        <w:pStyle w:val="ARCopy"/>
        <w:spacing w:after="0"/>
      </w:pPr>
    </w:p>
    <w:p w14:paraId="7CCC807D" w14:textId="77777777" w:rsidR="000163F9" w:rsidRDefault="000163F9" w:rsidP="000163F9">
      <w:pPr>
        <w:pStyle w:val="ARCopy"/>
        <w:spacing w:after="60"/>
        <w:rPr>
          <w:b/>
          <w:bCs/>
        </w:rPr>
      </w:pPr>
      <w:r>
        <w:rPr>
          <w:noProof/>
        </w:rPr>
        <w:drawing>
          <wp:inline distT="0" distB="0" distL="0" distR="0" wp14:anchorId="1F394D58" wp14:editId="7458E5F5">
            <wp:extent cx="1552575" cy="409239"/>
            <wp:effectExtent l="0" t="0" r="0" b="0"/>
            <wp:docPr id="5" name="Picture 5"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ul Melville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8028" cy="418584"/>
                    </a:xfrm>
                    <a:prstGeom prst="rect">
                      <a:avLst/>
                    </a:prstGeom>
                  </pic:spPr>
                </pic:pic>
              </a:graphicData>
            </a:graphic>
          </wp:inline>
        </w:drawing>
      </w:r>
    </w:p>
    <w:p w14:paraId="52B0EFBD" w14:textId="4C6A25CF" w:rsidR="00E5259C" w:rsidRDefault="000163F9" w:rsidP="000163F9">
      <w:pPr>
        <w:pStyle w:val="ARCopy"/>
        <w:spacing w:after="0"/>
      </w:pPr>
      <w:r w:rsidRPr="00CA5A58">
        <w:rPr>
          <w:b/>
          <w:bCs/>
        </w:rPr>
        <w:t>Paul Melville</w:t>
      </w:r>
      <w:r>
        <w:rPr>
          <w:b/>
          <w:bCs/>
        </w:rPr>
        <w:t xml:space="preserve"> </w:t>
      </w:r>
      <w:r>
        <w:rPr>
          <w:b/>
          <w:bCs/>
        </w:rPr>
        <w:tab/>
      </w:r>
      <w:r>
        <w:t>Board Chair</w:t>
      </w:r>
      <w:r w:rsidR="00E5259C">
        <w:br w:type="page"/>
      </w:r>
    </w:p>
    <w:p w14:paraId="1F544762" w14:textId="72F536F1" w:rsidR="00CA5A58" w:rsidRDefault="00CA5A58" w:rsidP="00B47CE6">
      <w:pPr>
        <w:pStyle w:val="ARH2"/>
        <w:spacing w:after="360"/>
      </w:pPr>
      <w:r>
        <w:lastRenderedPageBreak/>
        <w:t>CEO’s message</w:t>
      </w:r>
    </w:p>
    <w:p w14:paraId="7C986CAD" w14:textId="28AE734F" w:rsidR="00544AAF" w:rsidRDefault="00544AAF" w:rsidP="00544AAF">
      <w:pPr>
        <w:pStyle w:val="ARCopy"/>
      </w:pPr>
      <w:r>
        <w:t>As Queensland’s independent rental authority, we strive to place our customers at the centre of all that we do. In 2019–20, we laid the groundwork and conducted research to map our customers’ journeys and identify areas where we could deliver an improved customer experience. This work will continue as we deliver on our Strategic Plan 2019–23, which highlights our aim to deliver smart digital services, build a customer-focused workforce, improve business efficiency and ensure customers value our services.</w:t>
      </w:r>
    </w:p>
    <w:p w14:paraId="2DFD9294" w14:textId="05804FF2" w:rsidR="00544AAF" w:rsidRDefault="00544AAF" w:rsidP="00544AAF">
      <w:pPr>
        <w:pStyle w:val="ARCopy"/>
      </w:pPr>
      <w:r>
        <w:t>Following the successful launch of the RTA Bond Lodgement Web Service in June 2019, we released a suite of end-of-tenancy Web Services in December 2019 to make requesting bond refunds simpler and quicker for our customers. We conducted customer consultation through focus groups and used the feedback gathered to inform the Web Services and streamline essential customer transactions around ending a tenancy. The launch of the Bond Refund, Bond Disputes and Update Your Details Web Services also marked the important milestone of 30 years of service for the RTA in Queensland.</w:t>
      </w:r>
    </w:p>
    <w:p w14:paraId="6CD3C3EC" w14:textId="08B84BDD" w:rsidR="006A6FFA" w:rsidRDefault="00BE16A8" w:rsidP="006A6FFA">
      <w:pPr>
        <w:pStyle w:val="ARCopy"/>
      </w:pPr>
      <w:r>
        <w:t>In February 2020, the</w:t>
      </w:r>
      <w:r w:rsidR="006A6FFA">
        <w:t xml:space="preserve"> RTA release</w:t>
      </w:r>
      <w:r>
        <w:t>d</w:t>
      </w:r>
      <w:r w:rsidR="006A6FFA">
        <w:t xml:space="preserve"> a series of Web Service upgrades and enhancements, shaped and informed by customer feedback</w:t>
      </w:r>
      <w:r>
        <w:t>. This included adding</w:t>
      </w:r>
      <w:r w:rsidR="006A6FFA">
        <w:t xml:space="preserve"> </w:t>
      </w:r>
      <w:r>
        <w:t>a</w:t>
      </w:r>
      <w:r w:rsidR="006A6FFA">
        <w:t xml:space="preserve"> Bond increase option </w:t>
      </w:r>
      <w:r>
        <w:t>to our</w:t>
      </w:r>
      <w:r w:rsidR="006A6FFA">
        <w:t xml:space="preserve"> Bond Lodgement Web Service. I am pleased these services are improving the experience for many of our customers and we continue to be mindful of those customers who may need additional support to access our services.</w:t>
      </w:r>
    </w:p>
    <w:p w14:paraId="6695D254" w14:textId="488142B3" w:rsidR="00544AAF" w:rsidRDefault="00544AAF" w:rsidP="00544AAF">
      <w:pPr>
        <w:pStyle w:val="ARCopy"/>
      </w:pPr>
      <w:r>
        <w:t>A conscious effort has been made to move towards paperless services to reduce our environmental footprint. In addition to developing RTA Web Services</w:t>
      </w:r>
      <w:r w:rsidR="00BE16A8">
        <w:t xml:space="preserve"> which</w:t>
      </w:r>
      <w:r>
        <w:t xml:space="preserve"> offer customers an alternative to paper forms for</w:t>
      </w:r>
      <w:r w:rsidR="00BE16A8">
        <w:t xml:space="preserve"> essential</w:t>
      </w:r>
      <w:r>
        <w:t xml:space="preserve"> tenancy transactions, we ceased bulk printing </w:t>
      </w:r>
      <w:r w:rsidR="00BE16A8">
        <w:t>for</w:t>
      </w:r>
      <w:r>
        <w:t xml:space="preserve"> all forms and publications in January 2020.</w:t>
      </w:r>
    </w:p>
    <w:p w14:paraId="336A7C3F" w14:textId="510219F3" w:rsidR="00544AAF" w:rsidRDefault="00544AAF" w:rsidP="00544AAF">
      <w:pPr>
        <w:pStyle w:val="ARCopy"/>
      </w:pPr>
      <w:r>
        <w:t xml:space="preserve">In the second half of the financial year, the RTA focused on responding to the COVID-19 pandemic. The Queensland renting community was significantly impacted by the pandemic and the accompanying social and economic consequences. The RTA moved quickly to support the community alongside the new temporary legislative changes introduced by the Queensland Government. The RTA also worked quickly to transition to a remote workforce while continuing to provide high quality customer services. During this period, the RTA engaged a second contact centre to support our customers </w:t>
      </w:r>
      <w:r w:rsidR="00BE16A8">
        <w:t>as they responded to the</w:t>
      </w:r>
      <w:r>
        <w:t xml:space="preserve"> National Cabinet and Queensland Government announcements, legislative changes and </w:t>
      </w:r>
      <w:r w:rsidR="00EF2089">
        <w:t>accessing</w:t>
      </w:r>
      <w:r>
        <w:t xml:space="preserve"> </w:t>
      </w:r>
      <w:r w:rsidR="00BE16A8">
        <w:t xml:space="preserve">available </w:t>
      </w:r>
      <w:r>
        <w:t>assistance and support mechanisms. Extensive training for new and current staff enabled the business to rapidly respond to the needs of the sector. The RTA’s comprehensive COVID-19 response and the associated details regarding our transition to a remote workforce are shown on pages 17–19 of this report.</w:t>
      </w:r>
    </w:p>
    <w:p w14:paraId="3E1D9501" w14:textId="1CF19557" w:rsidR="00544AAF" w:rsidRDefault="00544AAF" w:rsidP="00544AAF">
      <w:pPr>
        <w:pStyle w:val="ARCopy"/>
      </w:pPr>
      <w:r>
        <w:t xml:space="preserve">As we adjust to our new normal, not only at the RTA but across the world, I am grateful for the hard work, flexibility and dedication of </w:t>
      </w:r>
      <w:r w:rsidR="00BE16A8">
        <w:t>our</w:t>
      </w:r>
      <w:r>
        <w:t xml:space="preserve"> RTA staff.  They have continued to make renting work for everyone in our community while also adapting to new ways of working. I thank the Executive Leadership Team for their trust, advice and resilience through the changes and uncertainties that this year has presented. I would also like to thank the RTA Board, the Minister for Housing and Public Works, Minister for Digital Technology and Minister for Sport, the Honourable Mick de Brenni MP, and the Department of Housing and Public Works for their ongoing commitment to our sector.</w:t>
      </w:r>
    </w:p>
    <w:p w14:paraId="7F434DC5" w14:textId="2613C207" w:rsidR="00CA5A58" w:rsidRPr="00CA5A58" w:rsidRDefault="00544AAF" w:rsidP="00544AAF">
      <w:pPr>
        <w:pStyle w:val="ARCopy"/>
        <w:rPr>
          <w:color w:val="FF0000"/>
        </w:rPr>
      </w:pPr>
      <w:r>
        <w:t>In the next 12 months, the RTA will continue to support the Queensland renting community and strengthen relationships with our stakeholders on the road to recovery. I also look forward to making further progress on our strategic objectives and delivering positive outcomes for our customers.</w:t>
      </w:r>
    </w:p>
    <w:p w14:paraId="540B703B" w14:textId="77777777" w:rsidR="00CA5A58" w:rsidRDefault="00CA5A58" w:rsidP="00CA5A58">
      <w:pPr>
        <w:pStyle w:val="ARCopy"/>
      </w:pPr>
    </w:p>
    <w:p w14:paraId="2C1427A2" w14:textId="0FB6FB09" w:rsidR="00CA5A58" w:rsidRDefault="00A33556" w:rsidP="00CA5A58">
      <w:pPr>
        <w:pStyle w:val="ARCopy"/>
      </w:pPr>
      <w:r>
        <w:rPr>
          <w:noProof/>
        </w:rPr>
        <w:drawing>
          <wp:inline distT="0" distB="0" distL="0" distR="0" wp14:anchorId="79C9402A" wp14:editId="2485F58B">
            <wp:extent cx="1196340" cy="673711"/>
            <wp:effectExtent l="0" t="0" r="3810" b="0"/>
            <wp:docPr id="7" name="Picture 7"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ennifer Smit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8061" cy="708469"/>
                    </a:xfrm>
                    <a:prstGeom prst="rect">
                      <a:avLst/>
                    </a:prstGeom>
                  </pic:spPr>
                </pic:pic>
              </a:graphicData>
            </a:graphic>
          </wp:inline>
        </w:drawing>
      </w:r>
    </w:p>
    <w:p w14:paraId="12F81E6E" w14:textId="59DB9D56" w:rsidR="00CA5A58" w:rsidRPr="00B47CE6" w:rsidRDefault="00CA5A58" w:rsidP="00CA5A58">
      <w:pPr>
        <w:pStyle w:val="ARCopy"/>
        <w:rPr>
          <w:b/>
          <w:bCs/>
        </w:rPr>
      </w:pPr>
      <w:r w:rsidRPr="00CA5A58">
        <w:rPr>
          <w:b/>
          <w:bCs/>
        </w:rPr>
        <w:t>Jennifer Smith</w:t>
      </w:r>
      <w:r w:rsidR="004879C5">
        <w:rPr>
          <w:b/>
          <w:bCs/>
        </w:rPr>
        <w:t xml:space="preserve"> </w:t>
      </w:r>
      <w:r w:rsidR="004879C5">
        <w:rPr>
          <w:b/>
          <w:bCs/>
        </w:rPr>
        <w:tab/>
      </w:r>
      <w:r>
        <w:t>Chief Executive Officer</w:t>
      </w:r>
      <w:r>
        <w:br w:type="page"/>
      </w:r>
    </w:p>
    <w:p w14:paraId="20D0B296" w14:textId="77777777" w:rsidR="00CA5A58" w:rsidRDefault="00CA5A58" w:rsidP="00CA5A58">
      <w:pPr>
        <w:pStyle w:val="ARH2"/>
      </w:pPr>
      <w:r>
        <w:lastRenderedPageBreak/>
        <w:t>About us</w:t>
      </w:r>
    </w:p>
    <w:p w14:paraId="558B2FA7" w14:textId="77777777" w:rsidR="00CA5A58" w:rsidRDefault="00CA5A58" w:rsidP="00CA5A58">
      <w:pPr>
        <w:pStyle w:val="ARH4"/>
      </w:pPr>
      <w:r>
        <w:t>Our vision and purpose</w:t>
      </w:r>
    </w:p>
    <w:p w14:paraId="78BE79AC" w14:textId="7CDE81F4" w:rsidR="00CA5A58" w:rsidRDefault="00CA5A58" w:rsidP="00CA5A58">
      <w:pPr>
        <w:pStyle w:val="ARCopy"/>
      </w:pPr>
      <w:r>
        <w:t xml:space="preserve">The RTA is an independent statutory authority established by the </w:t>
      </w:r>
      <w:r w:rsidRPr="00CA5A58">
        <w:rPr>
          <w:i/>
          <w:iCs/>
        </w:rPr>
        <w:t>Residential Tenancies and Rooming Accommodation Act 2008</w:t>
      </w:r>
      <w:r>
        <w:t xml:space="preserve"> (RTRA Act) and offers a range of services to empower positive relationships, administer fairness and uphold integrity and balance in the residential rental sector.</w:t>
      </w:r>
    </w:p>
    <w:p w14:paraId="6B91D721" w14:textId="60A3B844" w:rsidR="00CA5A58" w:rsidRDefault="00CA5A58" w:rsidP="00CA5A58">
      <w:pPr>
        <w:pStyle w:val="ARCopy"/>
      </w:pPr>
      <w:r>
        <w:t xml:space="preserve">As a self-funded organisation, the income earned from the investment of rental bonds pays for our operating costs and allows us to provide </w:t>
      </w:r>
      <w:r w:rsidR="00F17928">
        <w:t>state-wide</w:t>
      </w:r>
      <w:r>
        <w:t xml:space="preserve"> tenancy information, education and support services and bond management. We also offer a free dispute resolution service to help parties resolve tenancy issues without the need for legal action, and investigate alleged offences under the RTRA Act, with the aim to educate and prosecute offenders. </w:t>
      </w:r>
    </w:p>
    <w:p w14:paraId="246306E4" w14:textId="26EB7BB9" w:rsidR="00CA5A58" w:rsidRDefault="00CA5A58" w:rsidP="00CA5A58">
      <w:pPr>
        <w:pStyle w:val="ARCopy"/>
      </w:pPr>
      <w:r>
        <w:t>To remain relevant in this rapidly changing sector, the RTA research</w:t>
      </w:r>
      <w:r w:rsidR="00DA0730">
        <w:t>es</w:t>
      </w:r>
      <w:r>
        <w:t xml:space="preserve"> and monitors residential rental data and trends. We also facilitate conversations with key stakeholders and industry sector bodies, which enables us to proactively identify and respond to our customers’ varying and evolving needs and expectations. </w:t>
      </w:r>
    </w:p>
    <w:p w14:paraId="1C6842A6" w14:textId="5E570AB5" w:rsidR="00CA5A58" w:rsidRDefault="00CA5A58" w:rsidP="00CA5A58">
      <w:pPr>
        <w:pStyle w:val="ARCopy"/>
      </w:pPr>
      <w:r>
        <w:t>The RTA is governed by a Board of Directors</w:t>
      </w:r>
      <w:r w:rsidR="00BE16A8">
        <w:t>,</w:t>
      </w:r>
      <w:r>
        <w:t xml:space="preserve"> appointed by the Queensland Parliament’s Governor in Council, and is responsible to the Minister for Housing and Public Works, Minister for Digital Technology and Minister for Sport, the Honourable Mick de Brenni MP.</w:t>
      </w:r>
    </w:p>
    <w:p w14:paraId="14243632" w14:textId="668049F2" w:rsidR="00CA5A58" w:rsidRDefault="00CA5A58" w:rsidP="00CA5A58">
      <w:pPr>
        <w:pStyle w:val="ARH4"/>
      </w:pPr>
      <w:r>
        <w:t>Our objectives and strategies</w:t>
      </w:r>
    </w:p>
    <w:p w14:paraId="49EA9746" w14:textId="62A1A54D" w:rsidR="00CA5A58" w:rsidRDefault="00CA5A58" w:rsidP="00CA5A58">
      <w:pPr>
        <w:pStyle w:val="ARCopy"/>
      </w:pPr>
      <w:r>
        <w:t>This year, the RTA launched a new Strategic Plan 2019–23 to guide our journey for the next four years. This Strategic Plan brings a fresh perspective to our purpose and paves our way to becoming a customer-centric organisation. It also demonstrates our commitment to respect, protect and promote human rights in our decision-making and actions.</w:t>
      </w:r>
    </w:p>
    <w:p w14:paraId="4AD44D82" w14:textId="34716FB5" w:rsidR="00CA5A58" w:rsidRDefault="00CA5A58" w:rsidP="00CA5A58">
      <w:pPr>
        <w:pStyle w:val="ARCopy"/>
      </w:pPr>
      <w:r>
        <w:t>Our Strategic Plan 2019–23 outlines four main objectives. We aim to provide smart digital services, improve business efficiency, build a customer</w:t>
      </w:r>
      <w:r w:rsidR="00BE16A8">
        <w:t>-</w:t>
      </w:r>
      <w:r>
        <w:t xml:space="preserve">focused workforce and ensure customers value our services. </w:t>
      </w:r>
    </w:p>
    <w:p w14:paraId="344044FA" w14:textId="743EE3B0" w:rsidR="00CA5A58" w:rsidRDefault="00CA5A58" w:rsidP="00CA5A58">
      <w:pPr>
        <w:pStyle w:val="ARCopy"/>
      </w:pPr>
      <w:r>
        <w:t xml:space="preserve">The RTA also contributes to the Queensland Housing Strategy 2017–2027, which is a 10-year framework led by the Queensland Government to create better housing pathways and help every Queenslander access a safe, secure and affordable home. </w:t>
      </w:r>
    </w:p>
    <w:p w14:paraId="26DD1141" w14:textId="2BB1D857" w:rsidR="00CA5A58" w:rsidRDefault="00CA5A58" w:rsidP="00CA5A58">
      <w:pPr>
        <w:pStyle w:val="ARH4"/>
      </w:pPr>
      <w:r>
        <w:t>Our contribution to community objectives</w:t>
      </w:r>
    </w:p>
    <w:p w14:paraId="09EBA104" w14:textId="77777777" w:rsidR="00CA5A58" w:rsidRDefault="00CA5A58" w:rsidP="00CA5A58">
      <w:pPr>
        <w:pStyle w:val="ARCopy"/>
      </w:pPr>
      <w:r>
        <w:t>The RTA contributes to the Queensland Government’s Our Future State – Advancing Queensland’s Priorities to ‘Be a responsive Government’, supporting the residential rental sector by providing simple, easy-to-access services that meet customer expectations.</w:t>
      </w:r>
    </w:p>
    <w:p w14:paraId="7665A75D" w14:textId="6722E11D" w:rsidR="00CA5A58" w:rsidRDefault="00CA5A58">
      <w:pPr>
        <w:rPr>
          <w:rFonts w:ascii="Calibri Light" w:hAnsi="Calibri Light"/>
          <w:szCs w:val="21"/>
        </w:rPr>
      </w:pPr>
    </w:p>
    <w:sectPr w:rsidR="00CA5A58" w:rsidSect="00E00F7C">
      <w:footerReference w:type="default" r:id="rId13"/>
      <w:pgSz w:w="11906" w:h="16838"/>
      <w:pgMar w:top="851" w:right="1134" w:bottom="851" w:left="1134" w:header="709"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C5E49" w14:textId="77777777" w:rsidR="00A46036" w:rsidRDefault="00A46036" w:rsidP="00574CCF">
      <w:pPr>
        <w:spacing w:after="0" w:line="240" w:lineRule="auto"/>
      </w:pPr>
      <w:r>
        <w:separator/>
      </w:r>
    </w:p>
  </w:endnote>
  <w:endnote w:type="continuationSeparator" w:id="0">
    <w:p w14:paraId="33FCDB34" w14:textId="77777777" w:rsidR="00A46036" w:rsidRDefault="00A46036" w:rsidP="0057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00000000" w:usb2="07040407"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Theme="majorEastAsia" w:hAnsi="Calibri" w:cs="Calibri"/>
        <w:sz w:val="20"/>
        <w:szCs w:val="20"/>
      </w:rPr>
      <w:id w:val="1233978077"/>
      <w:docPartObj>
        <w:docPartGallery w:val="Page Numbers (Bottom of Page)"/>
        <w:docPartUnique/>
      </w:docPartObj>
    </w:sdtPr>
    <w:sdtEndPr>
      <w:rPr>
        <w:noProof/>
      </w:rPr>
    </w:sdtEndPr>
    <w:sdtContent>
      <w:p w14:paraId="4345A198" w14:textId="52DA8953" w:rsidR="00A46036" w:rsidRPr="00574CCF" w:rsidRDefault="00A46036" w:rsidP="00574CCF">
        <w:pPr>
          <w:pStyle w:val="Footer"/>
          <w:jc w:val="center"/>
          <w:rPr>
            <w:rFonts w:ascii="Calibri" w:hAnsi="Calibri" w:cs="Calibri"/>
            <w:sz w:val="20"/>
            <w:szCs w:val="20"/>
          </w:rPr>
        </w:pPr>
        <w:r>
          <w:rPr>
            <w:rFonts w:ascii="Calibri" w:eastAsiaTheme="majorEastAsia" w:hAnsi="Calibri" w:cs="Calibri"/>
            <w:noProof/>
            <w:sz w:val="20"/>
            <w:szCs w:val="20"/>
          </w:rPr>
          <mc:AlternateContent>
            <mc:Choice Requires="wps">
              <w:drawing>
                <wp:anchor distT="0" distB="0" distL="114300" distR="114300" simplePos="0" relativeHeight="251659264" behindDoc="0" locked="1" layoutInCell="1" allowOverlap="0" wp14:anchorId="2F4DF792" wp14:editId="07587597">
                  <wp:simplePos x="0" y="0"/>
                  <wp:positionH relativeFrom="column">
                    <wp:posOffset>1956435</wp:posOffset>
                  </wp:positionH>
                  <wp:positionV relativeFrom="page">
                    <wp:posOffset>10242550</wp:posOffset>
                  </wp:positionV>
                  <wp:extent cx="22066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06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494ED9"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4.05pt,806.5pt" to="327.8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" o:allowoverlap="f" strokecolor="black [3200]" strokeweight=".5pt">
                  <v:stroke joinstyle="miter"/>
                  <w10:wrap anchory="page"/>
                  <w10:anchorlock/>
                </v:line>
              </w:pict>
            </mc:Fallback>
          </mc:AlternateContent>
        </w:r>
        <w:r>
          <w:rPr>
            <w:rFonts w:ascii="Calibri" w:eastAsiaTheme="majorEastAsia" w:hAnsi="Calibri" w:cs="Calibri"/>
            <w:sz w:val="20"/>
            <w:szCs w:val="20"/>
          </w:rPr>
          <w:t>RTA Annual Report 2019–20  |  P</w:t>
        </w:r>
        <w:r w:rsidRPr="00AE37BF">
          <w:rPr>
            <w:rFonts w:ascii="Calibri" w:eastAsiaTheme="majorEastAsia" w:hAnsi="Calibri" w:cs="Calibri"/>
            <w:sz w:val="20"/>
            <w:szCs w:val="20"/>
          </w:rPr>
          <w:t xml:space="preserve">age </w:t>
        </w:r>
        <w:r w:rsidRPr="00AE37BF">
          <w:rPr>
            <w:rFonts w:ascii="Calibri" w:eastAsiaTheme="minorEastAsia" w:hAnsi="Calibri" w:cs="Calibri"/>
            <w:sz w:val="20"/>
            <w:szCs w:val="20"/>
          </w:rPr>
          <w:fldChar w:fldCharType="begin"/>
        </w:r>
        <w:r w:rsidRPr="00AE37BF">
          <w:rPr>
            <w:rFonts w:ascii="Calibri" w:hAnsi="Calibri" w:cs="Calibri"/>
            <w:sz w:val="20"/>
            <w:szCs w:val="20"/>
          </w:rPr>
          <w:instrText xml:space="preserve"> PAGE    \* MERGEFORMAT </w:instrText>
        </w:r>
        <w:r w:rsidRPr="00AE37BF">
          <w:rPr>
            <w:rFonts w:ascii="Calibri" w:eastAsiaTheme="minorEastAsia" w:hAnsi="Calibri" w:cs="Calibri"/>
            <w:sz w:val="20"/>
            <w:szCs w:val="20"/>
          </w:rPr>
          <w:fldChar w:fldCharType="separate"/>
        </w:r>
        <w:r>
          <w:rPr>
            <w:rFonts w:ascii="Calibri" w:eastAsiaTheme="minorEastAsia" w:hAnsi="Calibri" w:cs="Calibri"/>
            <w:sz w:val="20"/>
            <w:szCs w:val="20"/>
          </w:rPr>
          <w:t>1</w:t>
        </w:r>
        <w:r w:rsidRPr="00AE37BF">
          <w:rPr>
            <w:rFonts w:ascii="Calibri" w:eastAsiaTheme="majorEastAsia" w:hAnsi="Calibri" w:cs="Calibr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25001" w14:textId="77777777" w:rsidR="00A46036" w:rsidRDefault="00A46036" w:rsidP="00574CCF">
      <w:pPr>
        <w:spacing w:after="0" w:line="240" w:lineRule="auto"/>
      </w:pPr>
      <w:r>
        <w:separator/>
      </w:r>
    </w:p>
  </w:footnote>
  <w:footnote w:type="continuationSeparator" w:id="0">
    <w:p w14:paraId="3A43985C" w14:textId="77777777" w:rsidR="00A46036" w:rsidRDefault="00A46036" w:rsidP="00574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B86C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73190"/>
    <w:multiLevelType w:val="hybridMultilevel"/>
    <w:tmpl w:val="4F54A60E"/>
    <w:lvl w:ilvl="0" w:tplc="DF5C4D7E">
      <w:start w:val="1"/>
      <w:numFmt w:val="decimal"/>
      <w:lvlText w:val="%1."/>
      <w:lvlJc w:val="left"/>
      <w:pPr>
        <w:ind w:left="360" w:hanging="360"/>
      </w:pPr>
      <w:rPr>
        <w:rFonts w:hint="default"/>
        <w:color w:val="00B050"/>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8F6857"/>
    <w:multiLevelType w:val="hybridMultilevel"/>
    <w:tmpl w:val="5F5E2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364D82"/>
    <w:multiLevelType w:val="hybridMultilevel"/>
    <w:tmpl w:val="748CC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5" w15:restartNumberingAfterBreak="0">
    <w:nsid w:val="495D43F7"/>
    <w:multiLevelType w:val="hybridMultilevel"/>
    <w:tmpl w:val="34E20F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BA0FB5"/>
    <w:multiLevelType w:val="hybridMultilevel"/>
    <w:tmpl w:val="79C016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516C53"/>
    <w:multiLevelType w:val="hybridMultilevel"/>
    <w:tmpl w:val="F5AC525A"/>
    <w:lvl w:ilvl="0" w:tplc="9DD2098E">
      <w:start w:val="1"/>
      <w:numFmt w:val="decimal"/>
      <w:lvlText w:val="%1."/>
      <w:lvlJc w:val="left"/>
      <w:pPr>
        <w:ind w:left="360" w:hanging="360"/>
      </w:pPr>
      <w:rPr>
        <w:rFonts w:hint="default"/>
        <w:color w:val="auto"/>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A3E530C"/>
    <w:multiLevelType w:val="hybridMultilevel"/>
    <w:tmpl w:val="821AA68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D131C3"/>
    <w:multiLevelType w:val="hybridMultilevel"/>
    <w:tmpl w:val="C93C8794"/>
    <w:lvl w:ilvl="0" w:tplc="FE7A24F0">
      <w:numFmt w:val="bullet"/>
      <w:pStyle w:val="AR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8"/>
  </w:num>
  <w:num w:numId="5">
    <w:abstractNumId w:val="5"/>
  </w:num>
  <w:num w:numId="6">
    <w:abstractNumId w:val="4"/>
  </w:num>
  <w:num w:numId="7">
    <w:abstractNumId w:val="1"/>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ocumentProtection w:edit="readOnly" w:enforcement="1" w:cryptProviderType="rsaAES" w:cryptAlgorithmClass="hash" w:cryptAlgorithmType="typeAny" w:cryptAlgorithmSid="14" w:cryptSpinCount="100000" w:hash="Di7wPfE2DF1RqGz1d9GN+smR7alfyAc9TiZT0047baPe2h8GRGGyMu/xxpm9aZNy4ognUK3tU5/4J0AEB5LlNQ==" w:salt="mYvGphvcL4JhdfN+Sh/h9Q=="/>
  <w:defaultTabStop w:val="720"/>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19"/>
    <w:rsid w:val="0000083A"/>
    <w:rsid w:val="00003B44"/>
    <w:rsid w:val="00013D03"/>
    <w:rsid w:val="000163F9"/>
    <w:rsid w:val="000265FA"/>
    <w:rsid w:val="00026DAB"/>
    <w:rsid w:val="00031F4A"/>
    <w:rsid w:val="0004424B"/>
    <w:rsid w:val="00053A06"/>
    <w:rsid w:val="00056087"/>
    <w:rsid w:val="00061C73"/>
    <w:rsid w:val="0007235E"/>
    <w:rsid w:val="0007335F"/>
    <w:rsid w:val="000737FD"/>
    <w:rsid w:val="00075810"/>
    <w:rsid w:val="0008076C"/>
    <w:rsid w:val="000807E3"/>
    <w:rsid w:val="00087690"/>
    <w:rsid w:val="00094520"/>
    <w:rsid w:val="000A3E0F"/>
    <w:rsid w:val="000B59C5"/>
    <w:rsid w:val="000D583E"/>
    <w:rsid w:val="000E0899"/>
    <w:rsid w:val="000E1500"/>
    <w:rsid w:val="000E7E63"/>
    <w:rsid w:val="000F1568"/>
    <w:rsid w:val="000F243B"/>
    <w:rsid w:val="00100492"/>
    <w:rsid w:val="00102272"/>
    <w:rsid w:val="00106C9B"/>
    <w:rsid w:val="00113BA6"/>
    <w:rsid w:val="00114D14"/>
    <w:rsid w:val="001215E6"/>
    <w:rsid w:val="00126A0C"/>
    <w:rsid w:val="0013198D"/>
    <w:rsid w:val="00131FA3"/>
    <w:rsid w:val="00135B43"/>
    <w:rsid w:val="00136A83"/>
    <w:rsid w:val="00145FA8"/>
    <w:rsid w:val="00155D94"/>
    <w:rsid w:val="0015798B"/>
    <w:rsid w:val="00162B96"/>
    <w:rsid w:val="00175E4F"/>
    <w:rsid w:val="001804E3"/>
    <w:rsid w:val="00193FB1"/>
    <w:rsid w:val="001A3B28"/>
    <w:rsid w:val="001A71DB"/>
    <w:rsid w:val="001B6625"/>
    <w:rsid w:val="001C240D"/>
    <w:rsid w:val="001C2A37"/>
    <w:rsid w:val="001C2C9D"/>
    <w:rsid w:val="001C6EEB"/>
    <w:rsid w:val="001E7037"/>
    <w:rsid w:val="001E7282"/>
    <w:rsid w:val="0021223C"/>
    <w:rsid w:val="002176DC"/>
    <w:rsid w:val="0022311E"/>
    <w:rsid w:val="002268AD"/>
    <w:rsid w:val="002445B2"/>
    <w:rsid w:val="00251894"/>
    <w:rsid w:val="00257D9C"/>
    <w:rsid w:val="0026764F"/>
    <w:rsid w:val="002738CC"/>
    <w:rsid w:val="00275544"/>
    <w:rsid w:val="0027625A"/>
    <w:rsid w:val="00281C10"/>
    <w:rsid w:val="00282FAF"/>
    <w:rsid w:val="00286149"/>
    <w:rsid w:val="00292E06"/>
    <w:rsid w:val="00294E87"/>
    <w:rsid w:val="002A002D"/>
    <w:rsid w:val="002A0F31"/>
    <w:rsid w:val="002B23CF"/>
    <w:rsid w:val="002C7D41"/>
    <w:rsid w:val="002D30C8"/>
    <w:rsid w:val="002E0428"/>
    <w:rsid w:val="002E1020"/>
    <w:rsid w:val="002E4E64"/>
    <w:rsid w:val="003010DF"/>
    <w:rsid w:val="00301AB0"/>
    <w:rsid w:val="00303FFD"/>
    <w:rsid w:val="00307985"/>
    <w:rsid w:val="00310D3C"/>
    <w:rsid w:val="00316835"/>
    <w:rsid w:val="00332576"/>
    <w:rsid w:val="00337613"/>
    <w:rsid w:val="003456B2"/>
    <w:rsid w:val="0034772C"/>
    <w:rsid w:val="00351BA6"/>
    <w:rsid w:val="00356318"/>
    <w:rsid w:val="00357018"/>
    <w:rsid w:val="003634BB"/>
    <w:rsid w:val="0036697D"/>
    <w:rsid w:val="00374CF9"/>
    <w:rsid w:val="003811CD"/>
    <w:rsid w:val="0038262D"/>
    <w:rsid w:val="003A4B31"/>
    <w:rsid w:val="003B0A24"/>
    <w:rsid w:val="003B2931"/>
    <w:rsid w:val="003B4D2D"/>
    <w:rsid w:val="003B756D"/>
    <w:rsid w:val="003D72DD"/>
    <w:rsid w:val="003E0F00"/>
    <w:rsid w:val="003E1B4E"/>
    <w:rsid w:val="003F2080"/>
    <w:rsid w:val="003F2FD8"/>
    <w:rsid w:val="00403224"/>
    <w:rsid w:val="00404F38"/>
    <w:rsid w:val="00407A62"/>
    <w:rsid w:val="004136BF"/>
    <w:rsid w:val="00442D3B"/>
    <w:rsid w:val="00444A1A"/>
    <w:rsid w:val="00450515"/>
    <w:rsid w:val="00453631"/>
    <w:rsid w:val="00462DB8"/>
    <w:rsid w:val="00467404"/>
    <w:rsid w:val="004727D4"/>
    <w:rsid w:val="00472F7E"/>
    <w:rsid w:val="0047436A"/>
    <w:rsid w:val="0047621F"/>
    <w:rsid w:val="0047699B"/>
    <w:rsid w:val="004879C5"/>
    <w:rsid w:val="00487E5F"/>
    <w:rsid w:val="00493A44"/>
    <w:rsid w:val="004974BA"/>
    <w:rsid w:val="004A429B"/>
    <w:rsid w:val="004B53D8"/>
    <w:rsid w:val="004D09EC"/>
    <w:rsid w:val="004D4B1D"/>
    <w:rsid w:val="004F55DC"/>
    <w:rsid w:val="0050183A"/>
    <w:rsid w:val="00504275"/>
    <w:rsid w:val="00506C7B"/>
    <w:rsid w:val="00530141"/>
    <w:rsid w:val="00532C97"/>
    <w:rsid w:val="00536D17"/>
    <w:rsid w:val="00540D08"/>
    <w:rsid w:val="00543BCA"/>
    <w:rsid w:val="00544AAF"/>
    <w:rsid w:val="00545F13"/>
    <w:rsid w:val="0055130B"/>
    <w:rsid w:val="005550D6"/>
    <w:rsid w:val="00557995"/>
    <w:rsid w:val="00564AA5"/>
    <w:rsid w:val="005656B0"/>
    <w:rsid w:val="00570B36"/>
    <w:rsid w:val="00574CCF"/>
    <w:rsid w:val="00595777"/>
    <w:rsid w:val="005A1DC1"/>
    <w:rsid w:val="005A4891"/>
    <w:rsid w:val="005B32B3"/>
    <w:rsid w:val="005B3F70"/>
    <w:rsid w:val="005B5EEA"/>
    <w:rsid w:val="005B7BCA"/>
    <w:rsid w:val="005C414D"/>
    <w:rsid w:val="005C42B7"/>
    <w:rsid w:val="005C576F"/>
    <w:rsid w:val="005C69D3"/>
    <w:rsid w:val="005D4475"/>
    <w:rsid w:val="005D5D54"/>
    <w:rsid w:val="005F6830"/>
    <w:rsid w:val="005F7D05"/>
    <w:rsid w:val="00621B2F"/>
    <w:rsid w:val="0063003F"/>
    <w:rsid w:val="0063640A"/>
    <w:rsid w:val="006418C4"/>
    <w:rsid w:val="006422F2"/>
    <w:rsid w:val="006446EA"/>
    <w:rsid w:val="00644729"/>
    <w:rsid w:val="00646B8B"/>
    <w:rsid w:val="00652B19"/>
    <w:rsid w:val="0066003D"/>
    <w:rsid w:val="00664473"/>
    <w:rsid w:val="00666C06"/>
    <w:rsid w:val="006675A3"/>
    <w:rsid w:val="00670214"/>
    <w:rsid w:val="0067126F"/>
    <w:rsid w:val="006774C0"/>
    <w:rsid w:val="00677EB3"/>
    <w:rsid w:val="006822E4"/>
    <w:rsid w:val="006843CA"/>
    <w:rsid w:val="00686AB2"/>
    <w:rsid w:val="006870A7"/>
    <w:rsid w:val="00690811"/>
    <w:rsid w:val="00692498"/>
    <w:rsid w:val="00696FCD"/>
    <w:rsid w:val="006A3228"/>
    <w:rsid w:val="006A3473"/>
    <w:rsid w:val="006A63E2"/>
    <w:rsid w:val="006A6831"/>
    <w:rsid w:val="006A6FFA"/>
    <w:rsid w:val="006B0AAF"/>
    <w:rsid w:val="006B5615"/>
    <w:rsid w:val="006B5FDB"/>
    <w:rsid w:val="006C71C2"/>
    <w:rsid w:val="006D44B1"/>
    <w:rsid w:val="006D63F9"/>
    <w:rsid w:val="006E23FE"/>
    <w:rsid w:val="006E2C72"/>
    <w:rsid w:val="006E5A6A"/>
    <w:rsid w:val="006F56F1"/>
    <w:rsid w:val="006F6BCD"/>
    <w:rsid w:val="006F7F4E"/>
    <w:rsid w:val="00706934"/>
    <w:rsid w:val="00715FB1"/>
    <w:rsid w:val="00720CA1"/>
    <w:rsid w:val="00743C4A"/>
    <w:rsid w:val="00751E4A"/>
    <w:rsid w:val="00760B68"/>
    <w:rsid w:val="00763C9F"/>
    <w:rsid w:val="007640C0"/>
    <w:rsid w:val="00764CD0"/>
    <w:rsid w:val="007841C4"/>
    <w:rsid w:val="0079170A"/>
    <w:rsid w:val="007B59E0"/>
    <w:rsid w:val="007B5AA9"/>
    <w:rsid w:val="007C1250"/>
    <w:rsid w:val="007C3A48"/>
    <w:rsid w:val="007D3368"/>
    <w:rsid w:val="007D7051"/>
    <w:rsid w:val="007E156C"/>
    <w:rsid w:val="007E4DD8"/>
    <w:rsid w:val="007F3A72"/>
    <w:rsid w:val="0080085E"/>
    <w:rsid w:val="00803269"/>
    <w:rsid w:val="008059C3"/>
    <w:rsid w:val="00805FCD"/>
    <w:rsid w:val="00810CCD"/>
    <w:rsid w:val="00813A15"/>
    <w:rsid w:val="0081551F"/>
    <w:rsid w:val="00816EB4"/>
    <w:rsid w:val="00842A97"/>
    <w:rsid w:val="00862B48"/>
    <w:rsid w:val="00876FED"/>
    <w:rsid w:val="00891645"/>
    <w:rsid w:val="008A26B6"/>
    <w:rsid w:val="008A46AB"/>
    <w:rsid w:val="008A5261"/>
    <w:rsid w:val="008B3AF4"/>
    <w:rsid w:val="008B4B02"/>
    <w:rsid w:val="008B4E5F"/>
    <w:rsid w:val="008C1186"/>
    <w:rsid w:val="008E63DA"/>
    <w:rsid w:val="008E7937"/>
    <w:rsid w:val="008F0326"/>
    <w:rsid w:val="008F3B18"/>
    <w:rsid w:val="008F590B"/>
    <w:rsid w:val="00907CD5"/>
    <w:rsid w:val="00916381"/>
    <w:rsid w:val="009171B6"/>
    <w:rsid w:val="00923317"/>
    <w:rsid w:val="00923D14"/>
    <w:rsid w:val="00932126"/>
    <w:rsid w:val="00952233"/>
    <w:rsid w:val="00953795"/>
    <w:rsid w:val="00963A04"/>
    <w:rsid w:val="009659B6"/>
    <w:rsid w:val="0097030E"/>
    <w:rsid w:val="009956DB"/>
    <w:rsid w:val="009A25ED"/>
    <w:rsid w:val="009A6A03"/>
    <w:rsid w:val="009B335E"/>
    <w:rsid w:val="009B41B9"/>
    <w:rsid w:val="009C5EF1"/>
    <w:rsid w:val="009C6683"/>
    <w:rsid w:val="009D00B8"/>
    <w:rsid w:val="009E17C8"/>
    <w:rsid w:val="009E1F11"/>
    <w:rsid w:val="00A04412"/>
    <w:rsid w:val="00A05209"/>
    <w:rsid w:val="00A11C90"/>
    <w:rsid w:val="00A12D7C"/>
    <w:rsid w:val="00A16831"/>
    <w:rsid w:val="00A238FB"/>
    <w:rsid w:val="00A244AB"/>
    <w:rsid w:val="00A33556"/>
    <w:rsid w:val="00A37863"/>
    <w:rsid w:val="00A414A6"/>
    <w:rsid w:val="00A4381F"/>
    <w:rsid w:val="00A46036"/>
    <w:rsid w:val="00A624D4"/>
    <w:rsid w:val="00A63072"/>
    <w:rsid w:val="00A669E1"/>
    <w:rsid w:val="00A71005"/>
    <w:rsid w:val="00A77070"/>
    <w:rsid w:val="00A77772"/>
    <w:rsid w:val="00A8150B"/>
    <w:rsid w:val="00A84489"/>
    <w:rsid w:val="00AA59BB"/>
    <w:rsid w:val="00AB17B2"/>
    <w:rsid w:val="00AC243F"/>
    <w:rsid w:val="00AC52AA"/>
    <w:rsid w:val="00AD2B32"/>
    <w:rsid w:val="00B002A7"/>
    <w:rsid w:val="00B04999"/>
    <w:rsid w:val="00B37EBA"/>
    <w:rsid w:val="00B40982"/>
    <w:rsid w:val="00B43044"/>
    <w:rsid w:val="00B47CE6"/>
    <w:rsid w:val="00B508A6"/>
    <w:rsid w:val="00B50FEA"/>
    <w:rsid w:val="00B60C39"/>
    <w:rsid w:val="00B66243"/>
    <w:rsid w:val="00B667F9"/>
    <w:rsid w:val="00B67447"/>
    <w:rsid w:val="00B70843"/>
    <w:rsid w:val="00B76CEB"/>
    <w:rsid w:val="00B974AE"/>
    <w:rsid w:val="00BC293D"/>
    <w:rsid w:val="00BC3CB7"/>
    <w:rsid w:val="00BC7C0B"/>
    <w:rsid w:val="00BD0C1F"/>
    <w:rsid w:val="00BD1F81"/>
    <w:rsid w:val="00BD4132"/>
    <w:rsid w:val="00BD7FE2"/>
    <w:rsid w:val="00BE16A8"/>
    <w:rsid w:val="00BE2236"/>
    <w:rsid w:val="00BE7557"/>
    <w:rsid w:val="00BF1957"/>
    <w:rsid w:val="00BF5975"/>
    <w:rsid w:val="00C01E0F"/>
    <w:rsid w:val="00C06080"/>
    <w:rsid w:val="00C07476"/>
    <w:rsid w:val="00C1551B"/>
    <w:rsid w:val="00C21F50"/>
    <w:rsid w:val="00C22CE2"/>
    <w:rsid w:val="00C338FA"/>
    <w:rsid w:val="00C33DCC"/>
    <w:rsid w:val="00C343C2"/>
    <w:rsid w:val="00C453FB"/>
    <w:rsid w:val="00C5005F"/>
    <w:rsid w:val="00C504A5"/>
    <w:rsid w:val="00C50D68"/>
    <w:rsid w:val="00C72DCE"/>
    <w:rsid w:val="00C754BB"/>
    <w:rsid w:val="00C81931"/>
    <w:rsid w:val="00C874BD"/>
    <w:rsid w:val="00C95D29"/>
    <w:rsid w:val="00C96AAF"/>
    <w:rsid w:val="00CA5A58"/>
    <w:rsid w:val="00CA62A4"/>
    <w:rsid w:val="00CD4382"/>
    <w:rsid w:val="00CD7E22"/>
    <w:rsid w:val="00CE5331"/>
    <w:rsid w:val="00D0778F"/>
    <w:rsid w:val="00D11CF5"/>
    <w:rsid w:val="00D30692"/>
    <w:rsid w:val="00D3076C"/>
    <w:rsid w:val="00D3149D"/>
    <w:rsid w:val="00D321AE"/>
    <w:rsid w:val="00D46BC0"/>
    <w:rsid w:val="00D50096"/>
    <w:rsid w:val="00D50CE2"/>
    <w:rsid w:val="00D60016"/>
    <w:rsid w:val="00D96EB8"/>
    <w:rsid w:val="00DA0730"/>
    <w:rsid w:val="00DA33FC"/>
    <w:rsid w:val="00DC7F37"/>
    <w:rsid w:val="00DD4EEF"/>
    <w:rsid w:val="00DE5E42"/>
    <w:rsid w:val="00DF66BF"/>
    <w:rsid w:val="00DF6720"/>
    <w:rsid w:val="00E00F7C"/>
    <w:rsid w:val="00E03AB1"/>
    <w:rsid w:val="00E03FC6"/>
    <w:rsid w:val="00E06B1B"/>
    <w:rsid w:val="00E105A3"/>
    <w:rsid w:val="00E27454"/>
    <w:rsid w:val="00E3119B"/>
    <w:rsid w:val="00E404B2"/>
    <w:rsid w:val="00E42085"/>
    <w:rsid w:val="00E5259C"/>
    <w:rsid w:val="00E55F08"/>
    <w:rsid w:val="00E57725"/>
    <w:rsid w:val="00E66BC3"/>
    <w:rsid w:val="00E73A0F"/>
    <w:rsid w:val="00E7454F"/>
    <w:rsid w:val="00E75FD7"/>
    <w:rsid w:val="00E822B7"/>
    <w:rsid w:val="00E9286B"/>
    <w:rsid w:val="00E93276"/>
    <w:rsid w:val="00E93623"/>
    <w:rsid w:val="00E95A9C"/>
    <w:rsid w:val="00EA41C1"/>
    <w:rsid w:val="00EA4F3B"/>
    <w:rsid w:val="00EA50D4"/>
    <w:rsid w:val="00EC0293"/>
    <w:rsid w:val="00ED51B8"/>
    <w:rsid w:val="00EE0A5E"/>
    <w:rsid w:val="00EE18D5"/>
    <w:rsid w:val="00EF2089"/>
    <w:rsid w:val="00EF79CB"/>
    <w:rsid w:val="00F15654"/>
    <w:rsid w:val="00F17624"/>
    <w:rsid w:val="00F17928"/>
    <w:rsid w:val="00F26AD4"/>
    <w:rsid w:val="00F42CB5"/>
    <w:rsid w:val="00F459D4"/>
    <w:rsid w:val="00F51996"/>
    <w:rsid w:val="00F53FBF"/>
    <w:rsid w:val="00F55AA5"/>
    <w:rsid w:val="00F57759"/>
    <w:rsid w:val="00F76F3D"/>
    <w:rsid w:val="00F804AE"/>
    <w:rsid w:val="00F82946"/>
    <w:rsid w:val="00F8682F"/>
    <w:rsid w:val="00F86A32"/>
    <w:rsid w:val="00F950F9"/>
    <w:rsid w:val="00FA667A"/>
    <w:rsid w:val="00FA7AD7"/>
    <w:rsid w:val="00FB490F"/>
    <w:rsid w:val="00FB71E2"/>
    <w:rsid w:val="00FC38BE"/>
    <w:rsid w:val="00FD002A"/>
    <w:rsid w:val="00FD1C44"/>
    <w:rsid w:val="00FD28E4"/>
    <w:rsid w:val="00FD2C5A"/>
    <w:rsid w:val="00FD5123"/>
    <w:rsid w:val="00FD6107"/>
    <w:rsid w:val="00FD6B58"/>
    <w:rsid w:val="00FD6E07"/>
    <w:rsid w:val="00FF5E10"/>
    <w:rsid w:val="00FF6A77"/>
    <w:rsid w:val="00FF7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14:docId w14:val="4652B18F"/>
  <w15:chartTrackingRefBased/>
  <w15:docId w15:val="{4C4CA808-E20B-42AF-8D0B-885C47DE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2B19"/>
    <w:pPr>
      <w:ind w:left="720"/>
      <w:contextualSpacing/>
    </w:pPr>
  </w:style>
  <w:style w:type="paragraph" w:styleId="BalloonText">
    <w:name w:val="Balloon Text"/>
    <w:basedOn w:val="Normal"/>
    <w:link w:val="BalloonTextChar"/>
    <w:uiPriority w:val="99"/>
    <w:semiHidden/>
    <w:unhideWhenUsed/>
    <w:rsid w:val="00644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6EA"/>
    <w:rPr>
      <w:rFonts w:ascii="Segoe UI" w:hAnsi="Segoe UI" w:cs="Segoe UI"/>
      <w:sz w:val="18"/>
      <w:szCs w:val="18"/>
    </w:rPr>
  </w:style>
  <w:style w:type="table" w:styleId="TableGrid">
    <w:name w:val="Table Grid"/>
    <w:basedOn w:val="TableNormal"/>
    <w:uiPriority w:val="39"/>
    <w:rsid w:val="0064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H2">
    <w:name w:val="AR H2"/>
    <w:basedOn w:val="Normal"/>
    <w:link w:val="ARH2Char"/>
    <w:qFormat/>
    <w:rsid w:val="00CA62A4"/>
    <w:pPr>
      <w:spacing w:after="480" w:line="240" w:lineRule="auto"/>
    </w:pPr>
    <w:rPr>
      <w:rFonts w:asciiTheme="majorHAnsi" w:hAnsiTheme="majorHAnsi"/>
      <w:sz w:val="72"/>
      <w:szCs w:val="72"/>
    </w:rPr>
  </w:style>
  <w:style w:type="paragraph" w:customStyle="1" w:styleId="ARH4">
    <w:name w:val="AR H4"/>
    <w:basedOn w:val="Normal"/>
    <w:link w:val="ARH4Char"/>
    <w:qFormat/>
    <w:rsid w:val="00CA62A4"/>
    <w:pPr>
      <w:spacing w:before="240" w:after="120" w:line="240" w:lineRule="auto"/>
    </w:pPr>
    <w:rPr>
      <w:rFonts w:ascii="Calibri" w:hAnsi="Calibri" w:cs="Arial"/>
      <w:b/>
      <w:bCs/>
      <w:sz w:val="26"/>
      <w:szCs w:val="24"/>
    </w:rPr>
  </w:style>
  <w:style w:type="character" w:customStyle="1" w:styleId="ARH2Char">
    <w:name w:val="AR H2 Char"/>
    <w:basedOn w:val="DefaultParagraphFont"/>
    <w:link w:val="ARH2"/>
    <w:rsid w:val="00CA62A4"/>
    <w:rPr>
      <w:rFonts w:asciiTheme="majorHAnsi" w:hAnsiTheme="majorHAnsi"/>
      <w:sz w:val="72"/>
      <w:szCs w:val="72"/>
    </w:rPr>
  </w:style>
  <w:style w:type="paragraph" w:customStyle="1" w:styleId="ARchartheading">
    <w:name w:val="AR chart heading"/>
    <w:basedOn w:val="Normal"/>
    <w:link w:val="ARchartheadingChar"/>
    <w:qFormat/>
    <w:rsid w:val="00CA62A4"/>
    <w:pPr>
      <w:spacing w:after="120" w:line="240" w:lineRule="auto"/>
    </w:pPr>
    <w:rPr>
      <w:rFonts w:ascii="Calibri" w:hAnsi="Calibri" w:cs="Arial"/>
      <w:b/>
      <w:bCs/>
      <w:szCs w:val="20"/>
    </w:rPr>
  </w:style>
  <w:style w:type="character" w:customStyle="1" w:styleId="ARH4Char">
    <w:name w:val="AR H4 Char"/>
    <w:basedOn w:val="DefaultParagraphFont"/>
    <w:link w:val="ARH4"/>
    <w:rsid w:val="00CA62A4"/>
    <w:rPr>
      <w:rFonts w:ascii="Calibri" w:hAnsi="Calibri" w:cs="Arial"/>
      <w:b/>
      <w:bCs/>
      <w:sz w:val="26"/>
      <w:szCs w:val="24"/>
    </w:rPr>
  </w:style>
  <w:style w:type="paragraph" w:customStyle="1" w:styleId="ARCopy">
    <w:name w:val="AR Copy"/>
    <w:basedOn w:val="Normal"/>
    <w:link w:val="ARCopyChar"/>
    <w:qFormat/>
    <w:rsid w:val="00CA62A4"/>
    <w:pPr>
      <w:spacing w:after="120" w:line="240" w:lineRule="auto"/>
    </w:pPr>
    <w:rPr>
      <w:rFonts w:ascii="Calibri Light" w:hAnsi="Calibri Light"/>
      <w:szCs w:val="21"/>
    </w:rPr>
  </w:style>
  <w:style w:type="character" w:customStyle="1" w:styleId="ARchartheadingChar">
    <w:name w:val="AR chart heading Char"/>
    <w:basedOn w:val="DefaultParagraphFont"/>
    <w:link w:val="ARchartheading"/>
    <w:rsid w:val="00CA62A4"/>
    <w:rPr>
      <w:rFonts w:ascii="Calibri" w:hAnsi="Calibri" w:cs="Arial"/>
      <w:b/>
      <w:bCs/>
      <w:szCs w:val="20"/>
    </w:rPr>
  </w:style>
  <w:style w:type="paragraph" w:customStyle="1" w:styleId="ARBullet">
    <w:name w:val="AR Bullet"/>
    <w:basedOn w:val="ListParagraph"/>
    <w:link w:val="ARBulletChar"/>
    <w:qFormat/>
    <w:rsid w:val="00E5259C"/>
    <w:pPr>
      <w:numPr>
        <w:numId w:val="1"/>
      </w:numPr>
      <w:tabs>
        <w:tab w:val="left" w:pos="340"/>
      </w:tabs>
      <w:spacing w:after="120" w:line="240" w:lineRule="auto"/>
    </w:pPr>
    <w:rPr>
      <w:rFonts w:ascii="Calibri Light" w:hAnsi="Calibri Light"/>
      <w:szCs w:val="21"/>
    </w:rPr>
  </w:style>
  <w:style w:type="character" w:customStyle="1" w:styleId="ARCopyChar">
    <w:name w:val="AR Copy Char"/>
    <w:basedOn w:val="DefaultParagraphFont"/>
    <w:link w:val="ARCopy"/>
    <w:rsid w:val="00CA62A4"/>
    <w:rPr>
      <w:rFonts w:ascii="Calibri Light" w:hAnsi="Calibri Light"/>
      <w:szCs w:val="21"/>
    </w:rPr>
  </w:style>
  <w:style w:type="character" w:customStyle="1" w:styleId="ListParagraphChar">
    <w:name w:val="List Paragraph Char"/>
    <w:basedOn w:val="DefaultParagraphFont"/>
    <w:link w:val="ListParagraph"/>
    <w:uiPriority w:val="34"/>
    <w:rsid w:val="00646B8B"/>
  </w:style>
  <w:style w:type="character" w:customStyle="1" w:styleId="ARBulletChar">
    <w:name w:val="AR Bullet Char"/>
    <w:basedOn w:val="ListParagraphChar"/>
    <w:link w:val="ARBullet"/>
    <w:rsid w:val="00E5259C"/>
    <w:rPr>
      <w:rFonts w:ascii="Calibri Light" w:hAnsi="Calibri Light"/>
      <w:szCs w:val="21"/>
    </w:rPr>
  </w:style>
  <w:style w:type="paragraph" w:customStyle="1" w:styleId="ARtableheading">
    <w:name w:val="AR table heading"/>
    <w:basedOn w:val="Normal"/>
    <w:link w:val="ARtableheadingChar"/>
    <w:qFormat/>
    <w:rsid w:val="007D3368"/>
    <w:pPr>
      <w:spacing w:after="120" w:line="240" w:lineRule="auto"/>
      <w:jc w:val="center"/>
    </w:pPr>
    <w:rPr>
      <w:rFonts w:ascii="Calibri" w:hAnsi="Calibri" w:cs="Arial"/>
      <w:b/>
      <w:bCs/>
      <w:szCs w:val="20"/>
    </w:rPr>
  </w:style>
  <w:style w:type="paragraph" w:customStyle="1" w:styleId="ARintrocopy">
    <w:name w:val="AR intro copy"/>
    <w:basedOn w:val="Normal"/>
    <w:link w:val="ARintrocopyChar"/>
    <w:qFormat/>
    <w:rsid w:val="00175E4F"/>
    <w:pPr>
      <w:spacing w:after="300" w:line="240" w:lineRule="auto"/>
    </w:pPr>
    <w:rPr>
      <w:rFonts w:cstheme="minorHAnsi"/>
      <w:sz w:val="26"/>
      <w:szCs w:val="26"/>
    </w:rPr>
  </w:style>
  <w:style w:type="character" w:customStyle="1" w:styleId="ARtableheadingChar">
    <w:name w:val="AR table heading Char"/>
    <w:basedOn w:val="DefaultParagraphFont"/>
    <w:link w:val="ARtableheading"/>
    <w:rsid w:val="007D3368"/>
    <w:rPr>
      <w:rFonts w:ascii="Calibri" w:hAnsi="Calibri" w:cs="Arial"/>
      <w:b/>
      <w:bCs/>
      <w:szCs w:val="20"/>
    </w:rPr>
  </w:style>
  <w:style w:type="character" w:customStyle="1" w:styleId="ARintrocopyChar">
    <w:name w:val="AR intro copy Char"/>
    <w:basedOn w:val="DefaultParagraphFont"/>
    <w:link w:val="ARintrocopy"/>
    <w:rsid w:val="00175E4F"/>
    <w:rPr>
      <w:rFonts w:cstheme="minorHAnsi"/>
      <w:sz w:val="26"/>
      <w:szCs w:val="26"/>
    </w:rPr>
  </w:style>
  <w:style w:type="paragraph" w:customStyle="1" w:styleId="ARH1">
    <w:name w:val="AR H1"/>
    <w:basedOn w:val="ARH2"/>
    <w:link w:val="ARH1Char"/>
    <w:qFormat/>
    <w:rsid w:val="00442D3B"/>
    <w:pPr>
      <w:spacing w:after="240"/>
    </w:pPr>
    <w:rPr>
      <w:rFonts w:asciiTheme="minorHAnsi" w:hAnsiTheme="minorHAnsi"/>
      <w:b/>
      <w:bCs/>
    </w:rPr>
  </w:style>
  <w:style w:type="character" w:customStyle="1" w:styleId="ARH1Char">
    <w:name w:val="AR H1 Char"/>
    <w:basedOn w:val="ARH2Char"/>
    <w:link w:val="ARH1"/>
    <w:rsid w:val="00442D3B"/>
    <w:rPr>
      <w:rFonts w:asciiTheme="majorHAnsi" w:hAnsiTheme="majorHAnsi"/>
      <w:b/>
      <w:bCs/>
      <w:sz w:val="72"/>
      <w:szCs w:val="72"/>
    </w:rPr>
  </w:style>
  <w:style w:type="paragraph" w:customStyle="1" w:styleId="ARH3">
    <w:name w:val="AR H3"/>
    <w:qFormat/>
    <w:rsid w:val="00B50FEA"/>
    <w:pPr>
      <w:spacing w:after="240"/>
    </w:pPr>
    <w:rPr>
      <w:rFonts w:asciiTheme="majorHAnsi" w:hAnsiTheme="majorHAnsi"/>
      <w:sz w:val="52"/>
      <w:szCs w:val="52"/>
    </w:rPr>
  </w:style>
  <w:style w:type="table" w:customStyle="1" w:styleId="AR2013-14">
    <w:name w:val="AR 2013-14"/>
    <w:basedOn w:val="TableNormal"/>
    <w:uiPriority w:val="99"/>
    <w:qFormat/>
    <w:rsid w:val="00504275"/>
    <w:pPr>
      <w:spacing w:after="0" w:line="240" w:lineRule="auto"/>
    </w:pPr>
    <w:rPr>
      <w:rFonts w:ascii="Arial" w:eastAsia="Times New Roman" w:hAnsi="Arial" w:cs="Times New Roman"/>
      <w:szCs w:val="20"/>
      <w:lang w:eastAsia="en-AU"/>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shd w:val="clear" w:color="auto" w:fill="auto"/>
      <w:vAlign w:val="center"/>
    </w:tcPr>
  </w:style>
  <w:style w:type="paragraph" w:customStyle="1" w:styleId="ARTablebody">
    <w:name w:val="AR Table body"/>
    <w:qFormat/>
    <w:rsid w:val="00504275"/>
    <w:pPr>
      <w:spacing w:before="60" w:after="60" w:line="240" w:lineRule="auto"/>
    </w:pPr>
    <w:rPr>
      <w:rFonts w:ascii="Arial" w:eastAsia="Times New Roman" w:hAnsi="Arial" w:cs="Times New Roman"/>
      <w:lang w:val="en-US"/>
    </w:rPr>
  </w:style>
  <w:style w:type="paragraph" w:customStyle="1" w:styleId="ARTablebold">
    <w:name w:val="AR Table bold"/>
    <w:qFormat/>
    <w:rsid w:val="00504275"/>
    <w:pPr>
      <w:spacing w:before="60" w:after="60" w:line="240" w:lineRule="auto"/>
    </w:pPr>
    <w:rPr>
      <w:rFonts w:ascii="Arial" w:eastAsia="Times New Roman" w:hAnsi="Arial" w:cs="Arial"/>
      <w:b/>
      <w:lang w:val="en-US" w:eastAsia="en-AU"/>
    </w:rPr>
  </w:style>
  <w:style w:type="character" w:customStyle="1" w:styleId="Copy-italic">
    <w:name w:val="Copy - italic"/>
    <w:uiPriority w:val="99"/>
    <w:rsid w:val="00E66BC3"/>
    <w:rPr>
      <w:rFonts w:ascii="Arial" w:hAnsi="Arial" w:cs="Arial"/>
      <w:i/>
      <w:iCs/>
      <w:color w:val="000000"/>
      <w:spacing w:val="0"/>
      <w:sz w:val="22"/>
      <w:szCs w:val="22"/>
    </w:rPr>
  </w:style>
  <w:style w:type="paragraph" w:styleId="Header">
    <w:name w:val="header"/>
    <w:basedOn w:val="Normal"/>
    <w:link w:val="HeaderChar"/>
    <w:uiPriority w:val="99"/>
    <w:unhideWhenUsed/>
    <w:rsid w:val="00574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CCF"/>
  </w:style>
  <w:style w:type="paragraph" w:styleId="Footer">
    <w:name w:val="footer"/>
    <w:basedOn w:val="Normal"/>
    <w:link w:val="FooterChar"/>
    <w:uiPriority w:val="99"/>
    <w:unhideWhenUsed/>
    <w:rsid w:val="00574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CCF"/>
  </w:style>
  <w:style w:type="paragraph" w:customStyle="1" w:styleId="ARtextbold">
    <w:name w:val="AR text bold"/>
    <w:qFormat/>
    <w:rsid w:val="003F2FD8"/>
    <w:pPr>
      <w:spacing w:after="120" w:line="240" w:lineRule="auto"/>
    </w:pPr>
    <w:rPr>
      <w:rFonts w:ascii="Arial" w:eastAsia="Times New Roman" w:hAnsi="Arial" w:cs="Arial"/>
      <w:b/>
      <w:lang w:val="en-US" w:eastAsia="en-AU"/>
    </w:rPr>
  </w:style>
  <w:style w:type="paragraph" w:customStyle="1" w:styleId="ARNotes">
    <w:name w:val="AR Notes"/>
    <w:qFormat/>
    <w:rsid w:val="003F2FD8"/>
    <w:pPr>
      <w:tabs>
        <w:tab w:val="left" w:pos="283"/>
      </w:tabs>
      <w:suppressAutoHyphens/>
      <w:autoSpaceDE w:val="0"/>
      <w:autoSpaceDN w:val="0"/>
      <w:adjustRightInd w:val="0"/>
      <w:spacing w:after="0" w:line="288" w:lineRule="auto"/>
      <w:textAlignment w:val="center"/>
    </w:pPr>
    <w:rPr>
      <w:rFonts w:ascii="Arial" w:eastAsia="Times New Roman" w:hAnsi="Arial" w:cs="Arial"/>
      <w:sz w:val="18"/>
      <w:szCs w:val="18"/>
      <w:lang w:val="en-US" w:eastAsia="en-AU"/>
    </w:rPr>
  </w:style>
  <w:style w:type="paragraph" w:customStyle="1" w:styleId="Text">
    <w:name w:val="Text"/>
    <w:basedOn w:val="Normal"/>
    <w:rsid w:val="00F57759"/>
    <w:pPr>
      <w:tabs>
        <w:tab w:val="num" w:pos="1713"/>
      </w:tabs>
      <w:spacing w:before="120" w:after="120" w:line="240" w:lineRule="auto"/>
    </w:pPr>
    <w:rPr>
      <w:rFonts w:ascii="Arial" w:eastAsia="Times New Roman" w:hAnsi="Arial" w:cs="Times New Roman"/>
      <w:sz w:val="20"/>
      <w:szCs w:val="20"/>
      <w:lang w:eastAsia="en-AU"/>
    </w:rPr>
  </w:style>
  <w:style w:type="character" w:styleId="Hyperlink">
    <w:name w:val="Hyperlink"/>
    <w:basedOn w:val="DefaultParagraphFont"/>
    <w:uiPriority w:val="99"/>
    <w:rsid w:val="00F57759"/>
    <w:rPr>
      <w:color w:val="0000FF"/>
      <w:u w:val="single"/>
    </w:rPr>
  </w:style>
  <w:style w:type="character" w:styleId="CommentReference">
    <w:name w:val="annotation reference"/>
    <w:basedOn w:val="DefaultParagraphFont"/>
    <w:uiPriority w:val="99"/>
    <w:semiHidden/>
    <w:unhideWhenUsed/>
    <w:rsid w:val="00916381"/>
    <w:rPr>
      <w:sz w:val="16"/>
      <w:szCs w:val="16"/>
    </w:rPr>
  </w:style>
  <w:style w:type="paragraph" w:styleId="CommentText">
    <w:name w:val="annotation text"/>
    <w:basedOn w:val="Normal"/>
    <w:link w:val="CommentTextChar"/>
    <w:uiPriority w:val="99"/>
    <w:semiHidden/>
    <w:unhideWhenUsed/>
    <w:rsid w:val="00916381"/>
    <w:pPr>
      <w:spacing w:line="240" w:lineRule="auto"/>
    </w:pPr>
    <w:rPr>
      <w:sz w:val="20"/>
      <w:szCs w:val="20"/>
    </w:rPr>
  </w:style>
  <w:style w:type="character" w:customStyle="1" w:styleId="CommentTextChar">
    <w:name w:val="Comment Text Char"/>
    <w:basedOn w:val="DefaultParagraphFont"/>
    <w:link w:val="CommentText"/>
    <w:uiPriority w:val="99"/>
    <w:semiHidden/>
    <w:rsid w:val="00916381"/>
    <w:rPr>
      <w:sz w:val="20"/>
      <w:szCs w:val="20"/>
    </w:rPr>
  </w:style>
  <w:style w:type="paragraph" w:styleId="CommentSubject">
    <w:name w:val="annotation subject"/>
    <w:basedOn w:val="CommentText"/>
    <w:next w:val="CommentText"/>
    <w:link w:val="CommentSubjectChar"/>
    <w:uiPriority w:val="99"/>
    <w:semiHidden/>
    <w:unhideWhenUsed/>
    <w:rsid w:val="00916381"/>
    <w:rPr>
      <w:b/>
      <w:bCs/>
    </w:rPr>
  </w:style>
  <w:style w:type="character" w:customStyle="1" w:styleId="CommentSubjectChar">
    <w:name w:val="Comment Subject Char"/>
    <w:basedOn w:val="CommentTextChar"/>
    <w:link w:val="CommentSubject"/>
    <w:uiPriority w:val="99"/>
    <w:semiHidden/>
    <w:rsid w:val="00916381"/>
    <w:rPr>
      <w:b/>
      <w:bCs/>
      <w:sz w:val="20"/>
      <w:szCs w:val="20"/>
    </w:rPr>
  </w:style>
  <w:style w:type="paragraph" w:styleId="Revision">
    <w:name w:val="Revision"/>
    <w:hidden/>
    <w:uiPriority w:val="99"/>
    <w:semiHidden/>
    <w:rsid w:val="00003B44"/>
    <w:pPr>
      <w:spacing w:after="0" w:line="240" w:lineRule="auto"/>
    </w:pPr>
  </w:style>
  <w:style w:type="character" w:styleId="UnresolvedMention">
    <w:name w:val="Unresolved Mention"/>
    <w:basedOn w:val="DefaultParagraphFont"/>
    <w:uiPriority w:val="99"/>
    <w:semiHidden/>
    <w:unhideWhenUsed/>
    <w:rsid w:val="00A04412"/>
    <w:rPr>
      <w:color w:val="605E5C"/>
      <w:shd w:val="clear" w:color="auto" w:fill="E1DFDD"/>
    </w:rPr>
  </w:style>
  <w:style w:type="paragraph" w:styleId="ListBullet">
    <w:name w:val="List Bullet"/>
    <w:basedOn w:val="Normal"/>
    <w:uiPriority w:val="99"/>
    <w:unhideWhenUsed/>
    <w:rsid w:val="00F55AA5"/>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303">
      <w:bodyDiv w:val="1"/>
      <w:marLeft w:val="0"/>
      <w:marRight w:val="0"/>
      <w:marTop w:val="0"/>
      <w:marBottom w:val="0"/>
      <w:divBdr>
        <w:top w:val="none" w:sz="0" w:space="0" w:color="auto"/>
        <w:left w:val="none" w:sz="0" w:space="0" w:color="auto"/>
        <w:bottom w:val="none" w:sz="0" w:space="0" w:color="auto"/>
        <w:right w:val="none" w:sz="0" w:space="0" w:color="auto"/>
      </w:divBdr>
    </w:div>
    <w:div w:id="1573082875">
      <w:bodyDiv w:val="1"/>
      <w:marLeft w:val="0"/>
      <w:marRight w:val="0"/>
      <w:marTop w:val="0"/>
      <w:marBottom w:val="0"/>
      <w:divBdr>
        <w:top w:val="none" w:sz="0" w:space="0" w:color="auto"/>
        <w:left w:val="none" w:sz="0" w:space="0" w:color="auto"/>
        <w:bottom w:val="none" w:sz="0" w:space="0" w:color="auto"/>
        <w:right w:val="none" w:sz="0" w:space="0" w:color="auto"/>
      </w:divBdr>
    </w:div>
    <w:div w:id="158776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1899</Words>
  <Characters>10826</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Kelly</dc:creator>
  <cp:keywords/>
  <dc:description/>
  <cp:lastModifiedBy>Kim Kelly</cp:lastModifiedBy>
  <cp:revision>5</cp:revision>
  <cp:lastPrinted>2020-08-12T04:07:00Z</cp:lastPrinted>
  <dcterms:created xsi:type="dcterms:W3CDTF">2020-09-21T23:47:00Z</dcterms:created>
  <dcterms:modified xsi:type="dcterms:W3CDTF">2020-09-30T01:00:00Z</dcterms:modified>
</cp:coreProperties>
</file>